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0968" w14:textId="77777777" w:rsidR="00F530F5" w:rsidRPr="007F3B8C" w:rsidRDefault="00000000" w:rsidP="008E243C">
      <w:pPr>
        <w:jc w:val="right"/>
        <w:rPr>
          <w:rFonts w:ascii="Arial" w:hAnsi="Arial" w:cs="Arial"/>
          <w:color w:val="FFFFFF" w:themeColor="background1"/>
          <w:lang w:val="en-GB"/>
        </w:rPr>
      </w:pPr>
      <w:sdt>
        <w:sdtPr>
          <w:rPr>
            <w:rFonts w:ascii="Arial" w:eastAsia="Calibri" w:hAnsi="Arial" w:cs="Arial"/>
            <w:caps/>
            <w:color w:val="FFFFFF" w:themeColor="background1"/>
            <w:lang w:val="en-GB"/>
          </w:rPr>
          <w:id w:val="14443930"/>
          <w:placeholder>
            <w:docPart w:val="309DB8273CE04D4D8BC4F1E6FD0562BF"/>
          </w:placeholder>
          <w:temporary/>
          <w:showingPlcHdr/>
          <w:text/>
        </w:sdtPr>
        <w:sdtContent>
          <w:r w:rsidR="00855B48" w:rsidRPr="007F3B8C">
            <w:rPr>
              <w:rFonts w:ascii="Arial" w:eastAsia="Calibri" w:hAnsi="Arial" w:cs="Arial"/>
              <w:caps/>
              <w:color w:val="FFFFFF" w:themeColor="background1"/>
              <w:lang w:val="en-GB"/>
            </w:rPr>
            <w:t>[R</w:t>
          </w:r>
          <w:r w:rsidR="008F31AB" w:rsidRPr="007F3B8C">
            <w:rPr>
              <w:rFonts w:ascii="Arial" w:eastAsia="Calibri" w:hAnsi="Arial" w:cs="Arial"/>
              <w:caps/>
              <w:color w:val="FFFFFF" w:themeColor="background1"/>
              <w:lang w:val="en-GB"/>
            </w:rPr>
            <w:t>EPORT ID</w:t>
          </w:r>
          <w:r w:rsidR="00855B48" w:rsidRPr="007F3B8C">
            <w:rPr>
              <w:rFonts w:ascii="Arial" w:eastAsia="Calibri" w:hAnsi="Arial" w:cs="Arial"/>
              <w:caps/>
              <w:color w:val="FFFFFF" w:themeColor="background1"/>
              <w:lang w:val="en-GB"/>
            </w:rPr>
            <w:t xml:space="preserve">] </w:t>
          </w:r>
        </w:sdtContent>
      </w:sdt>
      <w:r w:rsidR="00855B48" w:rsidRPr="007F3B8C">
        <w:rPr>
          <w:rFonts w:ascii="Arial" w:eastAsia="Calibri" w:hAnsi="Arial" w:cs="Arial"/>
          <w:color w:val="FFFFFF" w:themeColor="background1"/>
          <w:lang w:val="en-GB"/>
        </w:rPr>
        <w:t xml:space="preserve">/ </w:t>
      </w:r>
      <w:sdt>
        <w:sdtPr>
          <w:rPr>
            <w:rFonts w:ascii="Arial" w:eastAsia="Calibri" w:hAnsi="Arial" w:cs="Arial"/>
            <w:caps/>
            <w:color w:val="FFFFFF" w:themeColor="background1"/>
            <w:lang w:val="en-GB"/>
          </w:rPr>
          <w:id w:val="14443931"/>
          <w:placeholder>
            <w:docPart w:val="581B097383C5474BA0FA7A33D9854C81"/>
          </w:placeholder>
          <w:temporary/>
          <w:showingPlcHdr/>
          <w:text/>
        </w:sdtPr>
        <w:sdtContent>
          <w:r w:rsidR="00855B48" w:rsidRPr="007F3B8C">
            <w:rPr>
              <w:rFonts w:ascii="Arial" w:eastAsia="Calibri" w:hAnsi="Arial" w:cs="Arial"/>
              <w:caps/>
              <w:color w:val="FFFFFF" w:themeColor="background1"/>
              <w:lang w:val="en-GB"/>
            </w:rPr>
            <w:t>[</w:t>
          </w:r>
          <w:r w:rsidR="008F31AB" w:rsidRPr="007F3B8C">
            <w:rPr>
              <w:rFonts w:ascii="Arial" w:eastAsia="Calibri" w:hAnsi="Arial" w:cs="Arial"/>
              <w:caps/>
              <w:color w:val="FFFFFF" w:themeColor="background1"/>
              <w:lang w:val="en-GB"/>
            </w:rPr>
            <w:t>M</w:t>
          </w:r>
          <w:r w:rsidR="00A43A44" w:rsidRPr="007F3B8C">
            <w:rPr>
              <w:rFonts w:ascii="Arial" w:eastAsia="Calibri" w:hAnsi="Arial" w:cs="Arial"/>
              <w:caps/>
              <w:color w:val="FFFFFF" w:themeColor="background1"/>
              <w:lang w:val="en-GB"/>
            </w:rPr>
            <w:t>ONTH</w:t>
          </w:r>
          <w:r w:rsidR="008F31AB" w:rsidRPr="007F3B8C">
            <w:rPr>
              <w:rFonts w:ascii="Arial" w:eastAsia="Calibri" w:hAnsi="Arial" w:cs="Arial"/>
              <w:caps/>
              <w:color w:val="FFFFFF" w:themeColor="background1"/>
              <w:lang w:val="en-GB"/>
            </w:rPr>
            <w:t xml:space="preserve"> / </w:t>
          </w:r>
          <w:r w:rsidR="00A43A44" w:rsidRPr="007F3B8C">
            <w:rPr>
              <w:rFonts w:ascii="Arial" w:eastAsia="Calibri" w:hAnsi="Arial" w:cs="Arial"/>
              <w:caps/>
              <w:color w:val="FFFFFF" w:themeColor="background1"/>
              <w:lang w:val="en-GB"/>
            </w:rPr>
            <w:t>YEAR</w:t>
          </w:r>
          <w:r w:rsidR="00855B48" w:rsidRPr="007F3B8C">
            <w:rPr>
              <w:rFonts w:ascii="Arial" w:eastAsia="Calibri" w:hAnsi="Arial" w:cs="Arial"/>
              <w:caps/>
              <w:color w:val="FFFFFF" w:themeColor="background1"/>
              <w:lang w:val="en-GB"/>
            </w:rPr>
            <w:t>]</w:t>
          </w:r>
        </w:sdtContent>
      </w:sdt>
    </w:p>
    <w:p w14:paraId="26B79B3F" w14:textId="77777777" w:rsidR="00A016A4" w:rsidRPr="007F3B8C" w:rsidRDefault="00A016A4" w:rsidP="00A016A4">
      <w:pPr>
        <w:spacing w:after="200" w:line="276" w:lineRule="auto"/>
        <w:rPr>
          <w:rFonts w:ascii="Calibri" w:eastAsia="Calibri" w:hAnsi="Calibri" w:cs="Times New Roman"/>
          <w:color w:val="FFFFFF" w:themeColor="background1"/>
          <w:lang w:val="en-GB"/>
        </w:rPr>
      </w:pPr>
    </w:p>
    <w:p w14:paraId="35D27EEE" w14:textId="090AF2AA" w:rsidR="006A40AA" w:rsidRDefault="006A40AA" w:rsidP="006A40AA">
      <w:pPr>
        <w:jc w:val="center"/>
        <w:rPr>
          <w:b/>
          <w:bCs/>
          <w:sz w:val="28"/>
          <w:szCs w:val="28"/>
          <w:lang w:val="en-US"/>
        </w:rPr>
      </w:pPr>
      <w:r w:rsidRPr="005F16D1">
        <w:rPr>
          <w:b/>
          <w:bCs/>
          <w:sz w:val="28"/>
          <w:szCs w:val="28"/>
          <w:lang w:val="en-US"/>
        </w:rPr>
        <w:t xml:space="preserve">EURAMET Project </w:t>
      </w:r>
      <w:r w:rsidR="00171CE7">
        <w:rPr>
          <w:b/>
          <w:bCs/>
          <w:sz w:val="28"/>
          <w:szCs w:val="28"/>
          <w:lang w:val="en-US"/>
        </w:rPr>
        <w:t>1723 &amp; 1724</w:t>
      </w:r>
    </w:p>
    <w:p w14:paraId="1CD406EE" w14:textId="77777777" w:rsidR="002963D4" w:rsidRDefault="002963D4" w:rsidP="006A40AA">
      <w:pPr>
        <w:jc w:val="center"/>
        <w:rPr>
          <w:b/>
          <w:bCs/>
          <w:sz w:val="28"/>
          <w:szCs w:val="28"/>
          <w:lang w:val="en-US"/>
        </w:rPr>
      </w:pPr>
    </w:p>
    <w:p w14:paraId="52DB354B" w14:textId="532B8ABB" w:rsidR="002963D4" w:rsidRPr="005F16D1" w:rsidRDefault="002963D4" w:rsidP="006A40AA">
      <w:pPr>
        <w:jc w:val="center"/>
        <w:rPr>
          <w:b/>
          <w:bCs/>
          <w:sz w:val="28"/>
          <w:szCs w:val="28"/>
          <w:lang w:val="en-US"/>
        </w:rPr>
      </w:pPr>
      <w:r>
        <w:rPr>
          <w:b/>
          <w:bCs/>
          <w:sz w:val="28"/>
          <w:szCs w:val="28"/>
          <w:lang w:val="en-US"/>
        </w:rPr>
        <w:t xml:space="preserve">Bilateral </w:t>
      </w:r>
      <w:r w:rsidR="00CC636F">
        <w:rPr>
          <w:b/>
          <w:bCs/>
          <w:sz w:val="28"/>
          <w:szCs w:val="28"/>
          <w:lang w:val="en-US"/>
        </w:rPr>
        <w:t xml:space="preserve">key and supplementary </w:t>
      </w:r>
      <w:r>
        <w:rPr>
          <w:b/>
          <w:bCs/>
          <w:sz w:val="28"/>
          <w:szCs w:val="28"/>
          <w:lang w:val="en-US"/>
        </w:rPr>
        <w:t xml:space="preserve">comparison </w:t>
      </w:r>
      <w:r w:rsidR="004A1329">
        <w:rPr>
          <w:b/>
          <w:bCs/>
          <w:sz w:val="28"/>
          <w:szCs w:val="28"/>
          <w:lang w:val="en-US"/>
        </w:rPr>
        <w:t xml:space="preserve">of neutron measuring instruments </w:t>
      </w:r>
      <w:r>
        <w:rPr>
          <w:b/>
          <w:bCs/>
          <w:sz w:val="28"/>
          <w:szCs w:val="28"/>
          <w:lang w:val="en-US"/>
        </w:rPr>
        <w:t>in terms of</w:t>
      </w:r>
      <w:r w:rsidR="0008549A" w:rsidRPr="0008549A">
        <w:rPr>
          <w:b/>
          <w:bCs/>
          <w:sz w:val="28"/>
          <w:szCs w:val="28"/>
          <w:lang w:val="en-US"/>
        </w:rPr>
        <w:t xml:space="preserve"> fluence </w:t>
      </w:r>
      <w:r w:rsidR="004A1329">
        <w:rPr>
          <w:b/>
          <w:bCs/>
          <w:sz w:val="28"/>
          <w:szCs w:val="28"/>
          <w:lang w:val="en-US"/>
        </w:rPr>
        <w:t xml:space="preserve">rate </w:t>
      </w:r>
      <w:r w:rsidR="0008549A" w:rsidRPr="0008549A">
        <w:rPr>
          <w:b/>
          <w:bCs/>
          <w:sz w:val="28"/>
          <w:szCs w:val="28"/>
          <w:lang w:val="en-US"/>
        </w:rPr>
        <w:t>and dose equivalents (</w:t>
      </w:r>
      <w:r w:rsidR="0008549A" w:rsidRPr="004A1329">
        <w:rPr>
          <w:b/>
          <w:bCs/>
          <w:i/>
          <w:iCs/>
          <w:sz w:val="28"/>
          <w:szCs w:val="28"/>
          <w:lang w:val="en-US"/>
        </w:rPr>
        <w:t>H</w:t>
      </w:r>
      <w:r w:rsidR="0008549A" w:rsidRPr="0008549A">
        <w:rPr>
          <w:b/>
          <w:bCs/>
          <w:sz w:val="28"/>
          <w:szCs w:val="28"/>
          <w:lang w:val="en-US"/>
        </w:rPr>
        <w:t xml:space="preserve">*(10) and </w:t>
      </w:r>
      <w:proofErr w:type="gramStart"/>
      <w:r w:rsidR="0008549A" w:rsidRPr="004A1329">
        <w:rPr>
          <w:b/>
          <w:bCs/>
          <w:i/>
          <w:iCs/>
          <w:sz w:val="28"/>
          <w:szCs w:val="28"/>
          <w:lang w:val="en-US"/>
        </w:rPr>
        <w:t>H</w:t>
      </w:r>
      <w:r w:rsidR="0008549A" w:rsidRPr="004A1329">
        <w:rPr>
          <w:b/>
          <w:bCs/>
          <w:sz w:val="28"/>
          <w:szCs w:val="28"/>
          <w:vertAlign w:val="subscript"/>
          <w:lang w:val="en-US"/>
        </w:rPr>
        <w:t>p</w:t>
      </w:r>
      <w:r w:rsidR="0008549A" w:rsidRPr="0008549A">
        <w:rPr>
          <w:b/>
          <w:bCs/>
          <w:sz w:val="28"/>
          <w:szCs w:val="28"/>
          <w:lang w:val="en-US"/>
        </w:rPr>
        <w:t>(</w:t>
      </w:r>
      <w:proofErr w:type="gramEnd"/>
      <w:r w:rsidR="0008549A" w:rsidRPr="0008549A">
        <w:rPr>
          <w:b/>
          <w:bCs/>
          <w:sz w:val="28"/>
          <w:szCs w:val="28"/>
          <w:lang w:val="en-US"/>
        </w:rPr>
        <w:t xml:space="preserve">10)) in </w:t>
      </w:r>
      <w:r w:rsidR="0008549A" w:rsidRPr="0008549A">
        <w:rPr>
          <w:b/>
          <w:bCs/>
          <w:sz w:val="28"/>
          <w:szCs w:val="28"/>
          <w:vertAlign w:val="superscript"/>
          <w:lang w:val="en-US"/>
        </w:rPr>
        <w:t>252</w:t>
      </w:r>
      <w:r w:rsidR="0008549A" w:rsidRPr="0008549A">
        <w:rPr>
          <w:b/>
          <w:bCs/>
          <w:sz w:val="28"/>
          <w:szCs w:val="28"/>
          <w:lang w:val="en-US"/>
        </w:rPr>
        <w:t xml:space="preserve">Cf and </w:t>
      </w:r>
      <w:r w:rsidR="0008549A" w:rsidRPr="0008549A">
        <w:rPr>
          <w:b/>
          <w:bCs/>
          <w:sz w:val="28"/>
          <w:szCs w:val="28"/>
          <w:vertAlign w:val="superscript"/>
          <w:lang w:val="en-US"/>
        </w:rPr>
        <w:t>241</w:t>
      </w:r>
      <w:r w:rsidR="0008549A" w:rsidRPr="0008549A">
        <w:rPr>
          <w:b/>
          <w:bCs/>
          <w:sz w:val="28"/>
          <w:szCs w:val="28"/>
          <w:lang w:val="en-US"/>
        </w:rPr>
        <w:t xml:space="preserve">AmBe neutron beams </w:t>
      </w:r>
      <w:r w:rsidR="004A1329">
        <w:rPr>
          <w:b/>
          <w:bCs/>
          <w:sz w:val="28"/>
          <w:szCs w:val="28"/>
          <w:lang w:val="en-US"/>
        </w:rPr>
        <w:t>i</w:t>
      </w:r>
      <w:r w:rsidR="0084550C">
        <w:rPr>
          <w:b/>
          <w:bCs/>
          <w:sz w:val="28"/>
          <w:szCs w:val="28"/>
          <w:lang w:val="en-US"/>
        </w:rPr>
        <w:t>n ISO neutron reference fields</w:t>
      </w:r>
    </w:p>
    <w:p w14:paraId="675C4E45" w14:textId="77777777" w:rsidR="006A40AA" w:rsidRPr="005F16D1" w:rsidRDefault="006A40AA" w:rsidP="006A40AA">
      <w:pPr>
        <w:jc w:val="center"/>
        <w:rPr>
          <w:b/>
          <w:bCs/>
          <w:sz w:val="28"/>
          <w:szCs w:val="28"/>
          <w:lang w:val="en-US"/>
        </w:rPr>
      </w:pPr>
    </w:p>
    <w:p w14:paraId="5B3396CA" w14:textId="77777777" w:rsidR="006A40AA" w:rsidRPr="005F16D1" w:rsidRDefault="006A40AA" w:rsidP="006A40AA">
      <w:pPr>
        <w:jc w:val="center"/>
        <w:rPr>
          <w:lang w:val="en-US"/>
        </w:rPr>
      </w:pPr>
    </w:p>
    <w:p w14:paraId="7D4A71D9" w14:textId="77777777" w:rsidR="006A40AA" w:rsidRDefault="006A40AA" w:rsidP="006A40AA">
      <w:pPr>
        <w:jc w:val="center"/>
        <w:rPr>
          <w:b/>
          <w:bCs/>
          <w:sz w:val="28"/>
          <w:szCs w:val="28"/>
          <w:lang w:val="en-US"/>
        </w:rPr>
      </w:pPr>
    </w:p>
    <w:p w14:paraId="2BFE891F" w14:textId="77777777" w:rsidR="006A40AA" w:rsidRDefault="006A40AA" w:rsidP="006A40AA">
      <w:pPr>
        <w:jc w:val="center"/>
        <w:rPr>
          <w:b/>
          <w:bCs/>
          <w:sz w:val="28"/>
          <w:szCs w:val="28"/>
          <w:lang w:val="en-US"/>
        </w:rPr>
      </w:pPr>
    </w:p>
    <w:p w14:paraId="5EDF2454" w14:textId="77777777" w:rsidR="006A40AA" w:rsidRDefault="006A40AA" w:rsidP="006A40AA">
      <w:pPr>
        <w:jc w:val="center"/>
        <w:rPr>
          <w:b/>
          <w:bCs/>
          <w:sz w:val="28"/>
          <w:szCs w:val="28"/>
          <w:lang w:val="en-US"/>
        </w:rPr>
      </w:pPr>
    </w:p>
    <w:p w14:paraId="3181A1F4" w14:textId="77777777" w:rsidR="006A40AA" w:rsidRDefault="006A40AA" w:rsidP="006A40AA">
      <w:pPr>
        <w:pStyle w:val="Default"/>
      </w:pPr>
    </w:p>
    <w:p w14:paraId="552ED5A5" w14:textId="547BB4B4" w:rsidR="006A40AA" w:rsidRPr="00233ECB" w:rsidRDefault="00674B95" w:rsidP="006A40AA">
      <w:pPr>
        <w:pStyle w:val="Default"/>
        <w:jc w:val="center"/>
        <w:rPr>
          <w:sz w:val="22"/>
          <w:szCs w:val="22"/>
        </w:rPr>
      </w:pPr>
      <w:r>
        <w:rPr>
          <w:b/>
          <w:bCs/>
          <w:sz w:val="22"/>
          <w:szCs w:val="22"/>
        </w:rPr>
        <w:t>I</w:t>
      </w:r>
      <w:r w:rsidR="006A40AA" w:rsidRPr="00233ECB">
        <w:rPr>
          <w:b/>
          <w:bCs/>
          <w:sz w:val="22"/>
          <w:szCs w:val="22"/>
        </w:rPr>
        <w:t>dentifier in the BIPM key comparison database (BIPM KCDB):</w:t>
      </w:r>
    </w:p>
    <w:p w14:paraId="137CF486" w14:textId="77777777" w:rsidR="00171CE7" w:rsidRDefault="00171CE7" w:rsidP="00171CE7">
      <w:pPr>
        <w:pStyle w:val="Default"/>
        <w:jc w:val="center"/>
        <w:rPr>
          <w:b/>
          <w:bCs/>
          <w:sz w:val="32"/>
          <w:szCs w:val="32"/>
        </w:rPr>
      </w:pPr>
      <w:r w:rsidRPr="00171CE7">
        <w:rPr>
          <w:b/>
          <w:bCs/>
          <w:sz w:val="32"/>
          <w:szCs w:val="32"/>
        </w:rPr>
        <w:t>EURAMET.RI(III)-K</w:t>
      </w:r>
      <w:proofErr w:type="gramStart"/>
      <w:r w:rsidRPr="00171CE7">
        <w:rPr>
          <w:b/>
          <w:bCs/>
          <w:sz w:val="32"/>
          <w:szCs w:val="32"/>
        </w:rPr>
        <w:t>1.AmBe</w:t>
      </w:r>
      <w:proofErr w:type="gramEnd"/>
    </w:p>
    <w:p w14:paraId="225E48BF" w14:textId="480F715E" w:rsidR="006A40AA" w:rsidRPr="00735E58" w:rsidRDefault="00171CE7" w:rsidP="00171CE7">
      <w:pPr>
        <w:pStyle w:val="Default"/>
        <w:jc w:val="center"/>
        <w:rPr>
          <w:b/>
          <w:bCs/>
          <w:sz w:val="40"/>
          <w:szCs w:val="40"/>
        </w:rPr>
      </w:pPr>
      <w:r w:rsidRPr="00171CE7">
        <w:rPr>
          <w:b/>
          <w:bCs/>
          <w:sz w:val="32"/>
          <w:szCs w:val="32"/>
        </w:rPr>
        <w:t>EURAMET.RI(III)-S3</w:t>
      </w:r>
    </w:p>
    <w:p w14:paraId="011F4EE8" w14:textId="77777777" w:rsidR="00407172" w:rsidRPr="00735E58" w:rsidRDefault="00407172" w:rsidP="006A40AA">
      <w:pPr>
        <w:pStyle w:val="Default"/>
        <w:rPr>
          <w:b/>
          <w:bCs/>
          <w:sz w:val="40"/>
          <w:szCs w:val="40"/>
        </w:rPr>
      </w:pPr>
    </w:p>
    <w:p w14:paraId="161998D6" w14:textId="77777777" w:rsidR="006A40AA" w:rsidRPr="00735E58" w:rsidRDefault="006A40AA" w:rsidP="006A40AA">
      <w:pPr>
        <w:pStyle w:val="Default"/>
        <w:rPr>
          <w:b/>
          <w:bCs/>
          <w:sz w:val="40"/>
          <w:szCs w:val="40"/>
        </w:rPr>
      </w:pPr>
    </w:p>
    <w:p w14:paraId="6F090E39" w14:textId="77777777" w:rsidR="006A40AA" w:rsidRDefault="006A40AA" w:rsidP="006A40AA">
      <w:pPr>
        <w:pStyle w:val="Default"/>
        <w:jc w:val="center"/>
        <w:rPr>
          <w:sz w:val="40"/>
          <w:szCs w:val="40"/>
        </w:rPr>
      </w:pPr>
      <w:r>
        <w:rPr>
          <w:b/>
          <w:bCs/>
          <w:sz w:val="40"/>
          <w:szCs w:val="40"/>
        </w:rPr>
        <w:t>Technical Protocol</w:t>
      </w:r>
    </w:p>
    <w:p w14:paraId="4973A1A9" w14:textId="1AAA8C60" w:rsidR="006A40AA" w:rsidRDefault="006A40AA" w:rsidP="006A40AA">
      <w:pPr>
        <w:jc w:val="center"/>
        <w:rPr>
          <w:i/>
          <w:iCs/>
          <w:sz w:val="28"/>
          <w:szCs w:val="28"/>
          <w:lang w:val="en-US"/>
        </w:rPr>
      </w:pPr>
      <w:r w:rsidRPr="00233ECB">
        <w:rPr>
          <w:i/>
          <w:iCs/>
          <w:sz w:val="28"/>
          <w:szCs w:val="28"/>
          <w:lang w:val="en-US"/>
        </w:rPr>
        <w:t>(</w:t>
      </w:r>
      <w:r w:rsidR="001B19B6">
        <w:rPr>
          <w:i/>
          <w:iCs/>
          <w:sz w:val="28"/>
          <w:szCs w:val="28"/>
          <w:lang w:val="en-US"/>
        </w:rPr>
        <w:t>accepted by</w:t>
      </w:r>
      <w:r w:rsidRPr="00233ECB">
        <w:rPr>
          <w:i/>
          <w:iCs/>
          <w:sz w:val="28"/>
          <w:szCs w:val="28"/>
          <w:lang w:val="en-US"/>
        </w:rPr>
        <w:t xml:space="preserve"> </w:t>
      </w:r>
      <w:r w:rsidRPr="00233ECB">
        <w:rPr>
          <w:b/>
          <w:bCs/>
          <w:i/>
          <w:iCs/>
          <w:sz w:val="28"/>
          <w:szCs w:val="28"/>
          <w:lang w:val="en-US"/>
        </w:rPr>
        <w:t>EURAMET</w:t>
      </w:r>
      <w:r w:rsidR="001B19B6">
        <w:rPr>
          <w:b/>
          <w:bCs/>
          <w:i/>
          <w:iCs/>
          <w:sz w:val="28"/>
          <w:szCs w:val="28"/>
          <w:lang w:val="en-US"/>
        </w:rPr>
        <w:t xml:space="preserve"> TC-IR</w:t>
      </w:r>
      <w:r w:rsidR="00450604">
        <w:rPr>
          <w:b/>
          <w:bCs/>
          <w:i/>
          <w:iCs/>
          <w:sz w:val="28"/>
          <w:szCs w:val="28"/>
          <w:lang w:val="en-US"/>
        </w:rPr>
        <w:t xml:space="preserve"> and CCRI(III)</w:t>
      </w:r>
      <w:r w:rsidR="004F1ECF">
        <w:rPr>
          <w:b/>
          <w:bCs/>
          <w:i/>
          <w:iCs/>
          <w:sz w:val="28"/>
          <w:szCs w:val="28"/>
          <w:lang w:val="en-US"/>
        </w:rPr>
        <w:t>)</w:t>
      </w:r>
    </w:p>
    <w:p w14:paraId="740D9B18" w14:textId="77777777" w:rsidR="006A40AA" w:rsidRDefault="006A40AA" w:rsidP="006A40AA">
      <w:pPr>
        <w:jc w:val="center"/>
        <w:rPr>
          <w:sz w:val="28"/>
          <w:szCs w:val="28"/>
          <w:lang w:val="en-US"/>
        </w:rPr>
      </w:pPr>
    </w:p>
    <w:p w14:paraId="4903EB98" w14:textId="77777777" w:rsidR="006A40AA" w:rsidRDefault="006A40AA" w:rsidP="006A40AA">
      <w:pPr>
        <w:jc w:val="center"/>
        <w:rPr>
          <w:sz w:val="28"/>
          <w:szCs w:val="28"/>
          <w:lang w:val="en-US"/>
        </w:rPr>
      </w:pPr>
    </w:p>
    <w:p w14:paraId="3671F412" w14:textId="77777777" w:rsidR="006A40AA" w:rsidRDefault="006A40AA" w:rsidP="006A40AA">
      <w:pPr>
        <w:rPr>
          <w:sz w:val="28"/>
          <w:szCs w:val="28"/>
          <w:lang w:val="en-US"/>
        </w:rPr>
      </w:pPr>
    </w:p>
    <w:p w14:paraId="4CAD25D0" w14:textId="77777777" w:rsidR="006A40AA" w:rsidRDefault="006A40AA" w:rsidP="006A40AA">
      <w:pPr>
        <w:rPr>
          <w:sz w:val="28"/>
          <w:szCs w:val="28"/>
          <w:lang w:val="en-US"/>
        </w:rPr>
      </w:pPr>
    </w:p>
    <w:p w14:paraId="3E45C8E8" w14:textId="77777777" w:rsidR="006A40AA" w:rsidRDefault="006A40AA" w:rsidP="006A40AA">
      <w:pPr>
        <w:rPr>
          <w:sz w:val="28"/>
          <w:szCs w:val="28"/>
          <w:lang w:val="en-US"/>
        </w:rPr>
      </w:pPr>
    </w:p>
    <w:p w14:paraId="5E25FC33" w14:textId="77777777" w:rsidR="00AC530F" w:rsidRDefault="00AC530F" w:rsidP="006A40AA">
      <w:pPr>
        <w:rPr>
          <w:sz w:val="28"/>
          <w:szCs w:val="28"/>
          <w:lang w:val="en-US"/>
        </w:rPr>
      </w:pPr>
    </w:p>
    <w:p w14:paraId="778FA4C6" w14:textId="77777777" w:rsidR="00AC530F" w:rsidRDefault="00AC530F" w:rsidP="006A40AA">
      <w:pPr>
        <w:rPr>
          <w:sz w:val="28"/>
          <w:szCs w:val="28"/>
          <w:lang w:val="en-US"/>
        </w:rPr>
      </w:pPr>
    </w:p>
    <w:p w14:paraId="163935DD" w14:textId="77777777" w:rsidR="006A40AA" w:rsidRDefault="006A40AA" w:rsidP="006A40AA">
      <w:pPr>
        <w:rPr>
          <w:sz w:val="28"/>
          <w:szCs w:val="28"/>
          <w:lang w:val="en-US"/>
        </w:rPr>
      </w:pPr>
    </w:p>
    <w:p w14:paraId="2BD42100" w14:textId="77777777" w:rsidR="006A40AA" w:rsidRDefault="006A40AA" w:rsidP="006A40AA">
      <w:pPr>
        <w:rPr>
          <w:sz w:val="28"/>
          <w:szCs w:val="28"/>
          <w:lang w:val="en-US"/>
        </w:rPr>
      </w:pPr>
    </w:p>
    <w:p w14:paraId="0402BBF2" w14:textId="48F2D8C8" w:rsidR="006A40AA" w:rsidRDefault="006A40AA" w:rsidP="006A40AA">
      <w:pPr>
        <w:rPr>
          <w:lang w:val="en-US"/>
        </w:rPr>
      </w:pPr>
      <w:r w:rsidRPr="00233ECB">
        <w:rPr>
          <w:lang w:val="en-US"/>
        </w:rPr>
        <w:t>Pilot laboratory</w:t>
      </w:r>
      <w:r>
        <w:rPr>
          <w:lang w:val="en-US"/>
        </w:rPr>
        <w:t xml:space="preserve">: STUK </w:t>
      </w:r>
    </w:p>
    <w:p w14:paraId="77F0D634" w14:textId="77777777" w:rsidR="006A40AA" w:rsidRDefault="006A40AA" w:rsidP="006A40AA">
      <w:pPr>
        <w:rPr>
          <w:lang w:val="en-US"/>
        </w:rPr>
      </w:pPr>
    </w:p>
    <w:p w14:paraId="6D5677EF" w14:textId="77777777" w:rsidR="006A40AA" w:rsidRDefault="006A40AA" w:rsidP="006A40AA">
      <w:pPr>
        <w:rPr>
          <w:lang w:val="en-US"/>
        </w:rPr>
      </w:pPr>
      <w:r>
        <w:rPr>
          <w:lang w:val="en-US"/>
        </w:rPr>
        <w:t>Contact persons:</w:t>
      </w:r>
    </w:p>
    <w:p w14:paraId="2943ED28" w14:textId="3A69DA2F" w:rsidR="006A40AA" w:rsidRDefault="002963D4" w:rsidP="006A40AA">
      <w:pPr>
        <w:rPr>
          <w:lang w:val="en-US"/>
        </w:rPr>
      </w:pPr>
      <w:r>
        <w:rPr>
          <w:lang w:val="en-US"/>
        </w:rPr>
        <w:t xml:space="preserve">Jussi Huikari and </w:t>
      </w:r>
      <w:r w:rsidR="006A40AA">
        <w:rPr>
          <w:lang w:val="en-US"/>
        </w:rPr>
        <w:t>Reetta Nylund</w:t>
      </w:r>
    </w:p>
    <w:p w14:paraId="2DEDEF93" w14:textId="77777777" w:rsidR="006A40AA" w:rsidRDefault="006A40AA" w:rsidP="006A40AA">
      <w:pPr>
        <w:rPr>
          <w:lang w:val="en-US"/>
        </w:rPr>
      </w:pPr>
      <w:r>
        <w:rPr>
          <w:lang w:val="en-US"/>
        </w:rPr>
        <w:t>STUK – Radiation and Nuclear Safety Authority</w:t>
      </w:r>
    </w:p>
    <w:p w14:paraId="47494DA9" w14:textId="77777777" w:rsidR="004F1546" w:rsidRPr="00AC530F" w:rsidRDefault="004F1546" w:rsidP="006A40AA">
      <w:r w:rsidRPr="00AC530F">
        <w:t>Jokiniemenkuja 1</w:t>
      </w:r>
    </w:p>
    <w:p w14:paraId="68BC9775" w14:textId="77777777" w:rsidR="004F1546" w:rsidRPr="00AC530F" w:rsidRDefault="004F1546" w:rsidP="006A40AA">
      <w:r w:rsidRPr="00AC530F">
        <w:t>01370 Vantaa, Finland</w:t>
      </w:r>
    </w:p>
    <w:p w14:paraId="368AA597" w14:textId="5EBEFF29" w:rsidR="006A40AA" w:rsidRPr="00AC530F" w:rsidRDefault="002963D4" w:rsidP="006A40AA">
      <w:r w:rsidRPr="00AC530F">
        <w:t>+358 40</w:t>
      </w:r>
      <w:r w:rsidR="004F1546" w:rsidRPr="00AC530F">
        <w:t xml:space="preserve"> 8225559</w:t>
      </w:r>
      <w:r w:rsidRPr="00AC530F">
        <w:t>/</w:t>
      </w:r>
      <w:r w:rsidR="006A40AA" w:rsidRPr="00AC530F">
        <w:t>+358 40 152 0941</w:t>
      </w:r>
    </w:p>
    <w:p w14:paraId="7FFF6566" w14:textId="5CB1387D" w:rsidR="006A40AA" w:rsidRPr="005E2687" w:rsidRDefault="006A40AA" w:rsidP="006A40AA">
      <w:r w:rsidRPr="005E2687">
        <w:t>e-mail:</w:t>
      </w:r>
      <w:r w:rsidR="002963D4" w:rsidRPr="005E2687">
        <w:t xml:space="preserve"> jussi.huikari@stuk.fi, </w:t>
      </w:r>
      <w:r w:rsidRPr="005E2687">
        <w:t>reetta.nylund@stuk.fi</w:t>
      </w:r>
    </w:p>
    <w:p w14:paraId="2FEDDC94" w14:textId="6B45A678" w:rsidR="006A40AA" w:rsidRPr="00693E4F" w:rsidRDefault="006A40AA" w:rsidP="006A40AA">
      <w:pPr>
        <w:rPr>
          <w:lang w:val="fr-CA"/>
        </w:rPr>
      </w:pPr>
    </w:p>
    <w:p w14:paraId="356F639D" w14:textId="77777777" w:rsidR="00A016A4" w:rsidRPr="00693E4F" w:rsidRDefault="00A016A4" w:rsidP="00A016A4">
      <w:pPr>
        <w:rPr>
          <w:lang w:val="fr-CA"/>
        </w:rPr>
        <w:sectPr w:rsidR="00A016A4" w:rsidRPr="00693E4F" w:rsidSect="00FB0C6A">
          <w:headerReference w:type="default" r:id="rId9"/>
          <w:pgSz w:w="11906" w:h="16838" w:code="9"/>
          <w:pgMar w:top="1701" w:right="1134" w:bottom="567" w:left="1134" w:header="567" w:footer="709" w:gutter="0"/>
          <w:cols w:space="708"/>
          <w:docGrid w:linePitch="360"/>
        </w:sectPr>
      </w:pPr>
    </w:p>
    <w:sdt>
      <w:sdtPr>
        <w:rPr>
          <w:rFonts w:asciiTheme="minorHAnsi" w:eastAsiaTheme="minorHAnsi" w:hAnsiTheme="minorHAnsi" w:cstheme="minorHAnsi"/>
          <w:b w:val="0"/>
          <w:bCs w:val="0"/>
          <w:szCs w:val="22"/>
          <w:lang w:val="en-GB"/>
        </w:rPr>
        <w:id w:val="4006361"/>
        <w:docPartObj>
          <w:docPartGallery w:val="Table of Contents"/>
          <w:docPartUnique/>
        </w:docPartObj>
      </w:sdtPr>
      <w:sdtContent>
        <w:p w14:paraId="0D4D3EED" w14:textId="77777777" w:rsidR="007C322F" w:rsidRPr="007F3B8C" w:rsidRDefault="00D240A4">
          <w:pPr>
            <w:pStyle w:val="Inhaltsverzeichnisberschrift"/>
            <w:rPr>
              <w:lang w:val="en-GB"/>
            </w:rPr>
          </w:pPr>
          <w:r w:rsidRPr="007F3B8C">
            <w:rPr>
              <w:lang w:val="en-GB"/>
            </w:rPr>
            <w:t>Contents</w:t>
          </w:r>
        </w:p>
        <w:p w14:paraId="438F4254" w14:textId="5E0580B0" w:rsidR="00202558" w:rsidRDefault="00441F45">
          <w:pPr>
            <w:pStyle w:val="Verzeichnis1"/>
            <w:tabs>
              <w:tab w:val="left" w:pos="440"/>
              <w:tab w:val="right" w:leader="dot" w:pos="9628"/>
            </w:tabs>
            <w:rPr>
              <w:rFonts w:eastAsiaTheme="minorEastAsia" w:cstheme="minorBidi"/>
              <w:noProof/>
              <w:kern w:val="2"/>
              <w:lang w:eastAsia="fi-FI"/>
              <w14:ligatures w14:val="standardContextual"/>
            </w:rPr>
          </w:pPr>
          <w:r w:rsidRPr="007F3B8C">
            <w:rPr>
              <w:lang w:val="en-GB"/>
            </w:rPr>
            <w:fldChar w:fldCharType="begin"/>
          </w:r>
          <w:r w:rsidR="007C322F" w:rsidRPr="007F3B8C">
            <w:rPr>
              <w:lang w:val="en-GB"/>
            </w:rPr>
            <w:instrText xml:space="preserve"> TOC \o "1-3" \h \z \u </w:instrText>
          </w:r>
          <w:r w:rsidRPr="007F3B8C">
            <w:rPr>
              <w:lang w:val="en-GB"/>
            </w:rPr>
            <w:fldChar w:fldCharType="separate"/>
          </w:r>
          <w:hyperlink w:anchor="_Toc179201976" w:history="1">
            <w:r w:rsidR="00202558" w:rsidRPr="00C02D60">
              <w:rPr>
                <w:rStyle w:val="Hyperlink"/>
                <w:noProof/>
                <w:lang w:val="en-GB"/>
              </w:rPr>
              <w:t>1</w:t>
            </w:r>
            <w:r w:rsidR="00202558">
              <w:rPr>
                <w:rFonts w:eastAsiaTheme="minorEastAsia" w:cstheme="minorBidi"/>
                <w:noProof/>
                <w:kern w:val="2"/>
                <w:lang w:eastAsia="fi-FI"/>
                <w14:ligatures w14:val="standardContextual"/>
              </w:rPr>
              <w:tab/>
            </w:r>
            <w:r w:rsidR="00202558" w:rsidRPr="00C02D60">
              <w:rPr>
                <w:rStyle w:val="Hyperlink"/>
                <w:noProof/>
                <w:lang w:val="en-GB"/>
              </w:rPr>
              <w:t>Object and participants</w:t>
            </w:r>
            <w:r w:rsidR="00202558">
              <w:rPr>
                <w:noProof/>
                <w:webHidden/>
              </w:rPr>
              <w:tab/>
            </w:r>
            <w:r w:rsidR="00202558">
              <w:rPr>
                <w:noProof/>
                <w:webHidden/>
              </w:rPr>
              <w:fldChar w:fldCharType="begin"/>
            </w:r>
            <w:r w:rsidR="00202558">
              <w:rPr>
                <w:noProof/>
                <w:webHidden/>
              </w:rPr>
              <w:instrText xml:space="preserve"> PAGEREF _Toc179201976 \h </w:instrText>
            </w:r>
            <w:r w:rsidR="00202558">
              <w:rPr>
                <w:noProof/>
                <w:webHidden/>
              </w:rPr>
            </w:r>
            <w:r w:rsidR="00202558">
              <w:rPr>
                <w:noProof/>
                <w:webHidden/>
              </w:rPr>
              <w:fldChar w:fldCharType="separate"/>
            </w:r>
            <w:r w:rsidR="00441B5A">
              <w:rPr>
                <w:noProof/>
                <w:webHidden/>
              </w:rPr>
              <w:t>1</w:t>
            </w:r>
            <w:r w:rsidR="00202558">
              <w:rPr>
                <w:noProof/>
                <w:webHidden/>
              </w:rPr>
              <w:fldChar w:fldCharType="end"/>
            </w:r>
          </w:hyperlink>
        </w:p>
        <w:p w14:paraId="69F07930" w14:textId="0B2F452C" w:rsidR="00202558" w:rsidRDefault="00202558">
          <w:pPr>
            <w:pStyle w:val="Verzeichnis2"/>
            <w:tabs>
              <w:tab w:val="left" w:pos="880"/>
              <w:tab w:val="right" w:leader="dot" w:pos="9628"/>
            </w:tabs>
            <w:rPr>
              <w:rFonts w:eastAsiaTheme="minorEastAsia" w:cstheme="minorBidi"/>
              <w:noProof/>
              <w:kern w:val="2"/>
              <w:lang w:eastAsia="fi-FI"/>
              <w14:ligatures w14:val="standardContextual"/>
            </w:rPr>
          </w:pPr>
          <w:hyperlink w:anchor="_Toc179201977" w:history="1">
            <w:r w:rsidRPr="00C02D60">
              <w:rPr>
                <w:rStyle w:val="Hyperlink"/>
                <w:noProof/>
                <w:lang w:val="en-GB"/>
              </w:rPr>
              <w:t>1.1</w:t>
            </w:r>
            <w:r>
              <w:rPr>
                <w:rFonts w:eastAsiaTheme="minorEastAsia" w:cstheme="minorBidi"/>
                <w:noProof/>
                <w:kern w:val="2"/>
                <w:lang w:eastAsia="fi-FI"/>
                <w14:ligatures w14:val="standardContextual"/>
              </w:rPr>
              <w:tab/>
            </w:r>
            <w:r w:rsidRPr="00C02D60">
              <w:rPr>
                <w:rStyle w:val="Hyperlink"/>
                <w:noProof/>
                <w:lang w:val="en-GB"/>
              </w:rPr>
              <w:t>Objective of the comparison</w:t>
            </w:r>
            <w:r>
              <w:rPr>
                <w:noProof/>
                <w:webHidden/>
              </w:rPr>
              <w:tab/>
            </w:r>
            <w:r>
              <w:rPr>
                <w:noProof/>
                <w:webHidden/>
              </w:rPr>
              <w:fldChar w:fldCharType="begin"/>
            </w:r>
            <w:r>
              <w:rPr>
                <w:noProof/>
                <w:webHidden/>
              </w:rPr>
              <w:instrText xml:space="preserve"> PAGEREF _Toc179201977 \h </w:instrText>
            </w:r>
            <w:r>
              <w:rPr>
                <w:noProof/>
                <w:webHidden/>
              </w:rPr>
            </w:r>
            <w:r>
              <w:rPr>
                <w:noProof/>
                <w:webHidden/>
              </w:rPr>
              <w:fldChar w:fldCharType="separate"/>
            </w:r>
            <w:r w:rsidR="00441B5A">
              <w:rPr>
                <w:noProof/>
                <w:webHidden/>
              </w:rPr>
              <w:t>1</w:t>
            </w:r>
            <w:r>
              <w:rPr>
                <w:noProof/>
                <w:webHidden/>
              </w:rPr>
              <w:fldChar w:fldCharType="end"/>
            </w:r>
          </w:hyperlink>
        </w:p>
        <w:p w14:paraId="49661D20" w14:textId="79537563" w:rsidR="00202558" w:rsidRDefault="00202558">
          <w:pPr>
            <w:pStyle w:val="Verzeichnis2"/>
            <w:tabs>
              <w:tab w:val="left" w:pos="880"/>
              <w:tab w:val="right" w:leader="dot" w:pos="9628"/>
            </w:tabs>
            <w:rPr>
              <w:rFonts w:eastAsiaTheme="minorEastAsia" w:cstheme="minorBidi"/>
              <w:noProof/>
              <w:kern w:val="2"/>
              <w:lang w:eastAsia="fi-FI"/>
              <w14:ligatures w14:val="standardContextual"/>
            </w:rPr>
          </w:pPr>
          <w:hyperlink w:anchor="_Toc179201978" w:history="1">
            <w:r w:rsidRPr="00C02D60">
              <w:rPr>
                <w:rStyle w:val="Hyperlink"/>
                <w:noProof/>
                <w:lang w:val="en-GB"/>
              </w:rPr>
              <w:t>1.2</w:t>
            </w:r>
            <w:r>
              <w:rPr>
                <w:rFonts w:eastAsiaTheme="minorEastAsia" w:cstheme="minorBidi"/>
                <w:noProof/>
                <w:kern w:val="2"/>
                <w:lang w:eastAsia="fi-FI"/>
                <w14:ligatures w14:val="standardContextual"/>
              </w:rPr>
              <w:tab/>
            </w:r>
            <w:r w:rsidRPr="00C02D60">
              <w:rPr>
                <w:rStyle w:val="Hyperlink"/>
                <w:noProof/>
                <w:lang w:val="en-GB"/>
              </w:rPr>
              <w:t>Participants</w:t>
            </w:r>
            <w:r>
              <w:rPr>
                <w:noProof/>
                <w:webHidden/>
              </w:rPr>
              <w:tab/>
            </w:r>
            <w:r>
              <w:rPr>
                <w:noProof/>
                <w:webHidden/>
              </w:rPr>
              <w:fldChar w:fldCharType="begin"/>
            </w:r>
            <w:r>
              <w:rPr>
                <w:noProof/>
                <w:webHidden/>
              </w:rPr>
              <w:instrText xml:space="preserve"> PAGEREF _Toc179201978 \h </w:instrText>
            </w:r>
            <w:r>
              <w:rPr>
                <w:noProof/>
                <w:webHidden/>
              </w:rPr>
            </w:r>
            <w:r>
              <w:rPr>
                <w:noProof/>
                <w:webHidden/>
              </w:rPr>
              <w:fldChar w:fldCharType="separate"/>
            </w:r>
            <w:r w:rsidR="00441B5A">
              <w:rPr>
                <w:noProof/>
                <w:webHidden/>
              </w:rPr>
              <w:t>1</w:t>
            </w:r>
            <w:r>
              <w:rPr>
                <w:noProof/>
                <w:webHidden/>
              </w:rPr>
              <w:fldChar w:fldCharType="end"/>
            </w:r>
          </w:hyperlink>
        </w:p>
        <w:p w14:paraId="6D7823AC" w14:textId="3F7A4E33" w:rsidR="00202558" w:rsidRDefault="00202558">
          <w:pPr>
            <w:pStyle w:val="Verzeichnis1"/>
            <w:tabs>
              <w:tab w:val="left" w:pos="440"/>
              <w:tab w:val="right" w:leader="dot" w:pos="9628"/>
            </w:tabs>
            <w:rPr>
              <w:rFonts w:eastAsiaTheme="minorEastAsia" w:cstheme="minorBidi"/>
              <w:noProof/>
              <w:kern w:val="2"/>
              <w:lang w:eastAsia="fi-FI"/>
              <w14:ligatures w14:val="standardContextual"/>
            </w:rPr>
          </w:pPr>
          <w:hyperlink w:anchor="_Toc179201979" w:history="1">
            <w:r w:rsidRPr="00C02D60">
              <w:rPr>
                <w:rStyle w:val="Hyperlink"/>
                <w:noProof/>
                <w:lang w:val="en-GB"/>
              </w:rPr>
              <w:t>2</w:t>
            </w:r>
            <w:r>
              <w:rPr>
                <w:rFonts w:eastAsiaTheme="minorEastAsia" w:cstheme="minorBidi"/>
                <w:noProof/>
                <w:kern w:val="2"/>
                <w:lang w:eastAsia="fi-FI"/>
                <w14:ligatures w14:val="standardContextual"/>
              </w:rPr>
              <w:tab/>
            </w:r>
            <w:r w:rsidRPr="00C02D60">
              <w:rPr>
                <w:rStyle w:val="Hyperlink"/>
                <w:noProof/>
                <w:lang w:val="en-GB"/>
              </w:rPr>
              <w:t>Transfer instruments</w:t>
            </w:r>
            <w:r>
              <w:rPr>
                <w:noProof/>
                <w:webHidden/>
              </w:rPr>
              <w:tab/>
            </w:r>
            <w:r>
              <w:rPr>
                <w:noProof/>
                <w:webHidden/>
              </w:rPr>
              <w:fldChar w:fldCharType="begin"/>
            </w:r>
            <w:r>
              <w:rPr>
                <w:noProof/>
                <w:webHidden/>
              </w:rPr>
              <w:instrText xml:space="preserve"> PAGEREF _Toc179201979 \h </w:instrText>
            </w:r>
            <w:r>
              <w:rPr>
                <w:noProof/>
                <w:webHidden/>
              </w:rPr>
            </w:r>
            <w:r>
              <w:rPr>
                <w:noProof/>
                <w:webHidden/>
              </w:rPr>
              <w:fldChar w:fldCharType="separate"/>
            </w:r>
            <w:r w:rsidR="00441B5A">
              <w:rPr>
                <w:noProof/>
                <w:webHidden/>
              </w:rPr>
              <w:t>2</w:t>
            </w:r>
            <w:r>
              <w:rPr>
                <w:noProof/>
                <w:webHidden/>
              </w:rPr>
              <w:fldChar w:fldCharType="end"/>
            </w:r>
          </w:hyperlink>
        </w:p>
        <w:p w14:paraId="34FD6F87" w14:textId="5205FE80" w:rsidR="00202558" w:rsidRDefault="00202558">
          <w:pPr>
            <w:pStyle w:val="Verzeichnis1"/>
            <w:tabs>
              <w:tab w:val="left" w:pos="440"/>
              <w:tab w:val="right" w:leader="dot" w:pos="9628"/>
            </w:tabs>
            <w:rPr>
              <w:rFonts w:eastAsiaTheme="minorEastAsia" w:cstheme="minorBidi"/>
              <w:noProof/>
              <w:kern w:val="2"/>
              <w:lang w:eastAsia="fi-FI"/>
              <w14:ligatures w14:val="standardContextual"/>
            </w:rPr>
          </w:pPr>
          <w:hyperlink w:anchor="_Toc179201980" w:history="1">
            <w:r w:rsidRPr="00C02D60">
              <w:rPr>
                <w:rStyle w:val="Hyperlink"/>
                <w:noProof/>
                <w:lang w:val="en-GB"/>
              </w:rPr>
              <w:t>3</w:t>
            </w:r>
            <w:r>
              <w:rPr>
                <w:rFonts w:eastAsiaTheme="minorEastAsia" w:cstheme="minorBidi"/>
                <w:noProof/>
                <w:kern w:val="2"/>
                <w:lang w:eastAsia="fi-FI"/>
                <w14:ligatures w14:val="standardContextual"/>
              </w:rPr>
              <w:tab/>
            </w:r>
            <w:r w:rsidRPr="00C02D60">
              <w:rPr>
                <w:rStyle w:val="Hyperlink"/>
                <w:noProof/>
                <w:lang w:val="en-GB"/>
              </w:rPr>
              <w:t>Sources</w:t>
            </w:r>
            <w:r>
              <w:rPr>
                <w:noProof/>
                <w:webHidden/>
              </w:rPr>
              <w:tab/>
            </w:r>
            <w:r>
              <w:rPr>
                <w:noProof/>
                <w:webHidden/>
              </w:rPr>
              <w:fldChar w:fldCharType="begin"/>
            </w:r>
            <w:r>
              <w:rPr>
                <w:noProof/>
                <w:webHidden/>
              </w:rPr>
              <w:instrText xml:space="preserve"> PAGEREF _Toc179201980 \h </w:instrText>
            </w:r>
            <w:r>
              <w:rPr>
                <w:noProof/>
                <w:webHidden/>
              </w:rPr>
            </w:r>
            <w:r>
              <w:rPr>
                <w:noProof/>
                <w:webHidden/>
              </w:rPr>
              <w:fldChar w:fldCharType="separate"/>
            </w:r>
            <w:r w:rsidR="00441B5A">
              <w:rPr>
                <w:noProof/>
                <w:webHidden/>
              </w:rPr>
              <w:t>2</w:t>
            </w:r>
            <w:r>
              <w:rPr>
                <w:noProof/>
                <w:webHidden/>
              </w:rPr>
              <w:fldChar w:fldCharType="end"/>
            </w:r>
          </w:hyperlink>
        </w:p>
        <w:p w14:paraId="79AC5333" w14:textId="0BB71653" w:rsidR="00202558" w:rsidRDefault="00202558">
          <w:pPr>
            <w:pStyle w:val="Verzeichnis1"/>
            <w:tabs>
              <w:tab w:val="left" w:pos="440"/>
              <w:tab w:val="right" w:leader="dot" w:pos="9628"/>
            </w:tabs>
            <w:rPr>
              <w:rFonts w:eastAsiaTheme="minorEastAsia" w:cstheme="minorBidi"/>
              <w:noProof/>
              <w:kern w:val="2"/>
              <w:lang w:eastAsia="fi-FI"/>
              <w14:ligatures w14:val="standardContextual"/>
            </w:rPr>
          </w:pPr>
          <w:hyperlink w:anchor="_Toc179201981" w:history="1">
            <w:r w:rsidRPr="00C02D60">
              <w:rPr>
                <w:rStyle w:val="Hyperlink"/>
                <w:noProof/>
                <w:lang w:val="en-GB"/>
              </w:rPr>
              <w:t>4</w:t>
            </w:r>
            <w:r>
              <w:rPr>
                <w:rFonts w:eastAsiaTheme="minorEastAsia" w:cstheme="minorBidi"/>
                <w:noProof/>
                <w:kern w:val="2"/>
                <w:lang w:eastAsia="fi-FI"/>
                <w14:ligatures w14:val="standardContextual"/>
              </w:rPr>
              <w:tab/>
            </w:r>
            <w:r w:rsidRPr="00C02D60">
              <w:rPr>
                <w:rStyle w:val="Hyperlink"/>
                <w:noProof/>
                <w:lang w:val="en-GB"/>
              </w:rPr>
              <w:t>Measurement Procedure</w:t>
            </w:r>
            <w:r>
              <w:rPr>
                <w:noProof/>
                <w:webHidden/>
              </w:rPr>
              <w:tab/>
            </w:r>
            <w:r>
              <w:rPr>
                <w:noProof/>
                <w:webHidden/>
              </w:rPr>
              <w:fldChar w:fldCharType="begin"/>
            </w:r>
            <w:r>
              <w:rPr>
                <w:noProof/>
                <w:webHidden/>
              </w:rPr>
              <w:instrText xml:space="preserve"> PAGEREF _Toc179201981 \h </w:instrText>
            </w:r>
            <w:r>
              <w:rPr>
                <w:noProof/>
                <w:webHidden/>
              </w:rPr>
            </w:r>
            <w:r>
              <w:rPr>
                <w:noProof/>
                <w:webHidden/>
              </w:rPr>
              <w:fldChar w:fldCharType="separate"/>
            </w:r>
            <w:r w:rsidR="00441B5A">
              <w:rPr>
                <w:noProof/>
                <w:webHidden/>
              </w:rPr>
              <w:t>3</w:t>
            </w:r>
            <w:r>
              <w:rPr>
                <w:noProof/>
                <w:webHidden/>
              </w:rPr>
              <w:fldChar w:fldCharType="end"/>
            </w:r>
          </w:hyperlink>
        </w:p>
        <w:p w14:paraId="6300BE77" w14:textId="777C8363" w:rsidR="00202558" w:rsidRDefault="00202558">
          <w:pPr>
            <w:pStyle w:val="Verzeichnis2"/>
            <w:tabs>
              <w:tab w:val="left" w:pos="880"/>
              <w:tab w:val="right" w:leader="dot" w:pos="9628"/>
            </w:tabs>
            <w:rPr>
              <w:rFonts w:eastAsiaTheme="minorEastAsia" w:cstheme="minorBidi"/>
              <w:noProof/>
              <w:kern w:val="2"/>
              <w:lang w:eastAsia="fi-FI"/>
              <w14:ligatures w14:val="standardContextual"/>
            </w:rPr>
          </w:pPr>
          <w:hyperlink w:anchor="_Toc179201982" w:history="1">
            <w:r w:rsidRPr="00C02D60">
              <w:rPr>
                <w:rStyle w:val="Hyperlink"/>
                <w:noProof/>
                <w:lang w:val="en-GB"/>
              </w:rPr>
              <w:t>4.1</w:t>
            </w:r>
            <w:r>
              <w:rPr>
                <w:rFonts w:eastAsiaTheme="minorEastAsia" w:cstheme="minorBidi"/>
                <w:noProof/>
                <w:kern w:val="2"/>
                <w:lang w:eastAsia="fi-FI"/>
                <w14:ligatures w14:val="standardContextual"/>
              </w:rPr>
              <w:tab/>
            </w:r>
            <w:r w:rsidRPr="00C02D60">
              <w:rPr>
                <w:rStyle w:val="Hyperlink"/>
                <w:noProof/>
                <w:lang w:val="en-GB"/>
              </w:rPr>
              <w:t>Radiation qualities and quantities</w:t>
            </w:r>
            <w:r>
              <w:rPr>
                <w:noProof/>
                <w:webHidden/>
              </w:rPr>
              <w:tab/>
            </w:r>
            <w:r>
              <w:rPr>
                <w:noProof/>
                <w:webHidden/>
              </w:rPr>
              <w:fldChar w:fldCharType="begin"/>
            </w:r>
            <w:r>
              <w:rPr>
                <w:noProof/>
                <w:webHidden/>
              </w:rPr>
              <w:instrText xml:space="preserve"> PAGEREF _Toc179201982 \h </w:instrText>
            </w:r>
            <w:r>
              <w:rPr>
                <w:noProof/>
                <w:webHidden/>
              </w:rPr>
            </w:r>
            <w:r>
              <w:rPr>
                <w:noProof/>
                <w:webHidden/>
              </w:rPr>
              <w:fldChar w:fldCharType="separate"/>
            </w:r>
            <w:r w:rsidR="00441B5A">
              <w:rPr>
                <w:noProof/>
                <w:webHidden/>
              </w:rPr>
              <w:t>3</w:t>
            </w:r>
            <w:r>
              <w:rPr>
                <w:noProof/>
                <w:webHidden/>
              </w:rPr>
              <w:fldChar w:fldCharType="end"/>
            </w:r>
          </w:hyperlink>
        </w:p>
        <w:p w14:paraId="2E97CDA6" w14:textId="11A72E33" w:rsidR="00202558" w:rsidRDefault="00202558">
          <w:pPr>
            <w:pStyle w:val="Verzeichnis2"/>
            <w:tabs>
              <w:tab w:val="left" w:pos="880"/>
              <w:tab w:val="right" w:leader="dot" w:pos="9628"/>
            </w:tabs>
            <w:rPr>
              <w:rFonts w:eastAsiaTheme="minorEastAsia" w:cstheme="minorBidi"/>
              <w:noProof/>
              <w:kern w:val="2"/>
              <w:lang w:eastAsia="fi-FI"/>
              <w14:ligatures w14:val="standardContextual"/>
            </w:rPr>
          </w:pPr>
          <w:hyperlink w:anchor="_Toc179201983" w:history="1">
            <w:r w:rsidRPr="00C02D60">
              <w:rPr>
                <w:rStyle w:val="Hyperlink"/>
                <w:noProof/>
                <w:lang w:val="en-GB"/>
              </w:rPr>
              <w:t>4.2</w:t>
            </w:r>
            <w:r>
              <w:rPr>
                <w:rFonts w:eastAsiaTheme="minorEastAsia" w:cstheme="minorBidi"/>
                <w:noProof/>
                <w:kern w:val="2"/>
                <w:lang w:eastAsia="fi-FI"/>
                <w14:ligatures w14:val="standardContextual"/>
              </w:rPr>
              <w:tab/>
            </w:r>
            <w:r w:rsidRPr="00C02D60">
              <w:rPr>
                <w:rStyle w:val="Hyperlink"/>
                <w:noProof/>
                <w:lang w:val="en-GB"/>
              </w:rPr>
              <w:t>Reference conditions</w:t>
            </w:r>
            <w:r>
              <w:rPr>
                <w:noProof/>
                <w:webHidden/>
              </w:rPr>
              <w:tab/>
            </w:r>
            <w:r>
              <w:rPr>
                <w:noProof/>
                <w:webHidden/>
              </w:rPr>
              <w:fldChar w:fldCharType="begin"/>
            </w:r>
            <w:r>
              <w:rPr>
                <w:noProof/>
                <w:webHidden/>
              </w:rPr>
              <w:instrText xml:space="preserve"> PAGEREF _Toc179201983 \h </w:instrText>
            </w:r>
            <w:r>
              <w:rPr>
                <w:noProof/>
                <w:webHidden/>
              </w:rPr>
            </w:r>
            <w:r>
              <w:rPr>
                <w:noProof/>
                <w:webHidden/>
              </w:rPr>
              <w:fldChar w:fldCharType="separate"/>
            </w:r>
            <w:r w:rsidR="00441B5A">
              <w:rPr>
                <w:noProof/>
                <w:webHidden/>
              </w:rPr>
              <w:t>3</w:t>
            </w:r>
            <w:r>
              <w:rPr>
                <w:noProof/>
                <w:webHidden/>
              </w:rPr>
              <w:fldChar w:fldCharType="end"/>
            </w:r>
          </w:hyperlink>
        </w:p>
        <w:p w14:paraId="10B91ACC" w14:textId="1357FB6A" w:rsidR="00202558" w:rsidRDefault="00202558">
          <w:pPr>
            <w:pStyle w:val="Verzeichnis2"/>
            <w:tabs>
              <w:tab w:val="left" w:pos="880"/>
              <w:tab w:val="right" w:leader="dot" w:pos="9628"/>
            </w:tabs>
            <w:rPr>
              <w:rFonts w:eastAsiaTheme="minorEastAsia" w:cstheme="minorBidi"/>
              <w:noProof/>
              <w:kern w:val="2"/>
              <w:lang w:eastAsia="fi-FI"/>
              <w14:ligatures w14:val="standardContextual"/>
            </w:rPr>
          </w:pPr>
          <w:hyperlink w:anchor="_Toc179201984" w:history="1">
            <w:r w:rsidRPr="00C02D60">
              <w:rPr>
                <w:rStyle w:val="Hyperlink"/>
                <w:noProof/>
                <w:lang w:val="en-GB"/>
              </w:rPr>
              <w:t>4.3</w:t>
            </w:r>
            <w:r>
              <w:rPr>
                <w:rFonts w:eastAsiaTheme="minorEastAsia" w:cstheme="minorBidi"/>
                <w:noProof/>
                <w:kern w:val="2"/>
                <w:lang w:eastAsia="fi-FI"/>
                <w14:ligatures w14:val="standardContextual"/>
              </w:rPr>
              <w:tab/>
            </w:r>
            <w:r w:rsidRPr="00C02D60">
              <w:rPr>
                <w:rStyle w:val="Hyperlink"/>
                <w:noProof/>
                <w:lang w:val="en-GB"/>
              </w:rPr>
              <w:t>Reference value</w:t>
            </w:r>
            <w:r>
              <w:rPr>
                <w:noProof/>
                <w:webHidden/>
              </w:rPr>
              <w:tab/>
            </w:r>
            <w:r>
              <w:rPr>
                <w:noProof/>
                <w:webHidden/>
              </w:rPr>
              <w:fldChar w:fldCharType="begin"/>
            </w:r>
            <w:r>
              <w:rPr>
                <w:noProof/>
                <w:webHidden/>
              </w:rPr>
              <w:instrText xml:space="preserve"> PAGEREF _Toc179201984 \h </w:instrText>
            </w:r>
            <w:r>
              <w:rPr>
                <w:noProof/>
                <w:webHidden/>
              </w:rPr>
            </w:r>
            <w:r>
              <w:rPr>
                <w:noProof/>
                <w:webHidden/>
              </w:rPr>
              <w:fldChar w:fldCharType="separate"/>
            </w:r>
            <w:r w:rsidR="00441B5A">
              <w:rPr>
                <w:noProof/>
                <w:webHidden/>
              </w:rPr>
              <w:t>3</w:t>
            </w:r>
            <w:r>
              <w:rPr>
                <w:noProof/>
                <w:webHidden/>
              </w:rPr>
              <w:fldChar w:fldCharType="end"/>
            </w:r>
          </w:hyperlink>
        </w:p>
        <w:p w14:paraId="2845AE25" w14:textId="1F1266D2" w:rsidR="00202558" w:rsidRDefault="00202558">
          <w:pPr>
            <w:pStyle w:val="Verzeichnis2"/>
            <w:tabs>
              <w:tab w:val="left" w:pos="880"/>
              <w:tab w:val="right" w:leader="dot" w:pos="9628"/>
            </w:tabs>
            <w:rPr>
              <w:rFonts w:eastAsiaTheme="minorEastAsia" w:cstheme="minorBidi"/>
              <w:noProof/>
              <w:kern w:val="2"/>
              <w:lang w:eastAsia="fi-FI"/>
              <w14:ligatures w14:val="standardContextual"/>
            </w:rPr>
          </w:pPr>
          <w:hyperlink w:anchor="_Toc179201985" w:history="1">
            <w:r w:rsidRPr="00C02D60">
              <w:rPr>
                <w:rStyle w:val="Hyperlink"/>
                <w:noProof/>
                <w:lang w:val="en-GB"/>
              </w:rPr>
              <w:t>4.4</w:t>
            </w:r>
            <w:r>
              <w:rPr>
                <w:rFonts w:eastAsiaTheme="minorEastAsia" w:cstheme="minorBidi"/>
                <w:noProof/>
                <w:kern w:val="2"/>
                <w:lang w:eastAsia="fi-FI"/>
                <w14:ligatures w14:val="standardContextual"/>
              </w:rPr>
              <w:tab/>
            </w:r>
            <w:r w:rsidRPr="00C02D60">
              <w:rPr>
                <w:rStyle w:val="Hyperlink"/>
                <w:noProof/>
                <w:lang w:val="en-GB"/>
              </w:rPr>
              <w:t>Determination of the calibration coefficient</w:t>
            </w:r>
            <w:r>
              <w:rPr>
                <w:noProof/>
                <w:webHidden/>
              </w:rPr>
              <w:tab/>
            </w:r>
            <w:r>
              <w:rPr>
                <w:noProof/>
                <w:webHidden/>
              </w:rPr>
              <w:fldChar w:fldCharType="begin"/>
            </w:r>
            <w:r>
              <w:rPr>
                <w:noProof/>
                <w:webHidden/>
              </w:rPr>
              <w:instrText xml:space="preserve"> PAGEREF _Toc179201985 \h </w:instrText>
            </w:r>
            <w:r>
              <w:rPr>
                <w:noProof/>
                <w:webHidden/>
              </w:rPr>
            </w:r>
            <w:r>
              <w:rPr>
                <w:noProof/>
                <w:webHidden/>
              </w:rPr>
              <w:fldChar w:fldCharType="separate"/>
            </w:r>
            <w:r w:rsidR="00441B5A">
              <w:rPr>
                <w:noProof/>
                <w:webHidden/>
              </w:rPr>
              <w:t>3</w:t>
            </w:r>
            <w:r>
              <w:rPr>
                <w:noProof/>
                <w:webHidden/>
              </w:rPr>
              <w:fldChar w:fldCharType="end"/>
            </w:r>
          </w:hyperlink>
        </w:p>
        <w:p w14:paraId="14369776" w14:textId="1FB94A76" w:rsidR="00202558" w:rsidRDefault="00202558">
          <w:pPr>
            <w:pStyle w:val="Verzeichnis2"/>
            <w:tabs>
              <w:tab w:val="left" w:pos="880"/>
              <w:tab w:val="right" w:leader="dot" w:pos="9628"/>
            </w:tabs>
            <w:rPr>
              <w:rFonts w:eastAsiaTheme="minorEastAsia" w:cstheme="minorBidi"/>
              <w:noProof/>
              <w:kern w:val="2"/>
              <w:lang w:eastAsia="fi-FI"/>
              <w14:ligatures w14:val="standardContextual"/>
            </w:rPr>
          </w:pPr>
          <w:hyperlink w:anchor="_Toc179201986" w:history="1">
            <w:r w:rsidRPr="00C02D60">
              <w:rPr>
                <w:rStyle w:val="Hyperlink"/>
                <w:noProof/>
                <w:lang w:val="en-GB"/>
              </w:rPr>
              <w:t>4.5</w:t>
            </w:r>
            <w:r>
              <w:rPr>
                <w:rFonts w:eastAsiaTheme="minorEastAsia" w:cstheme="minorBidi"/>
                <w:noProof/>
                <w:kern w:val="2"/>
                <w:lang w:eastAsia="fi-FI"/>
                <w14:ligatures w14:val="standardContextual"/>
              </w:rPr>
              <w:tab/>
            </w:r>
            <w:r w:rsidRPr="00C02D60">
              <w:rPr>
                <w:rStyle w:val="Hyperlink"/>
                <w:noProof/>
                <w:lang w:val="en-GB"/>
              </w:rPr>
              <w:t>Uncertainty budgets</w:t>
            </w:r>
            <w:r>
              <w:rPr>
                <w:noProof/>
                <w:webHidden/>
              </w:rPr>
              <w:tab/>
            </w:r>
            <w:r>
              <w:rPr>
                <w:noProof/>
                <w:webHidden/>
              </w:rPr>
              <w:fldChar w:fldCharType="begin"/>
            </w:r>
            <w:r>
              <w:rPr>
                <w:noProof/>
                <w:webHidden/>
              </w:rPr>
              <w:instrText xml:space="preserve"> PAGEREF _Toc179201986 \h </w:instrText>
            </w:r>
            <w:r>
              <w:rPr>
                <w:noProof/>
                <w:webHidden/>
              </w:rPr>
            </w:r>
            <w:r>
              <w:rPr>
                <w:noProof/>
                <w:webHidden/>
              </w:rPr>
              <w:fldChar w:fldCharType="separate"/>
            </w:r>
            <w:r w:rsidR="00441B5A">
              <w:rPr>
                <w:noProof/>
                <w:webHidden/>
              </w:rPr>
              <w:t>3</w:t>
            </w:r>
            <w:r>
              <w:rPr>
                <w:noProof/>
                <w:webHidden/>
              </w:rPr>
              <w:fldChar w:fldCharType="end"/>
            </w:r>
          </w:hyperlink>
        </w:p>
        <w:p w14:paraId="0D5D516D" w14:textId="6308E76A" w:rsidR="00202558" w:rsidRDefault="00202558">
          <w:pPr>
            <w:pStyle w:val="Verzeichnis2"/>
            <w:tabs>
              <w:tab w:val="left" w:pos="880"/>
              <w:tab w:val="right" w:leader="dot" w:pos="9628"/>
            </w:tabs>
            <w:rPr>
              <w:rFonts w:eastAsiaTheme="minorEastAsia" w:cstheme="minorBidi"/>
              <w:noProof/>
              <w:kern w:val="2"/>
              <w:lang w:eastAsia="fi-FI"/>
              <w14:ligatures w14:val="standardContextual"/>
            </w:rPr>
          </w:pPr>
          <w:hyperlink w:anchor="_Toc179201987" w:history="1">
            <w:r w:rsidRPr="00C02D60">
              <w:rPr>
                <w:rStyle w:val="Hyperlink"/>
                <w:noProof/>
                <w:lang w:val="en-GB"/>
              </w:rPr>
              <w:t>4.6</w:t>
            </w:r>
            <w:r>
              <w:rPr>
                <w:rFonts w:eastAsiaTheme="minorEastAsia" w:cstheme="minorBidi"/>
                <w:noProof/>
                <w:kern w:val="2"/>
                <w:lang w:eastAsia="fi-FI"/>
                <w14:ligatures w14:val="standardContextual"/>
              </w:rPr>
              <w:tab/>
            </w:r>
            <w:r w:rsidRPr="00C02D60">
              <w:rPr>
                <w:rStyle w:val="Hyperlink"/>
                <w:noProof/>
                <w:lang w:val="en-GB"/>
              </w:rPr>
              <w:t>Reporting the results</w:t>
            </w:r>
            <w:r>
              <w:rPr>
                <w:noProof/>
                <w:webHidden/>
              </w:rPr>
              <w:tab/>
            </w:r>
            <w:r>
              <w:rPr>
                <w:noProof/>
                <w:webHidden/>
              </w:rPr>
              <w:fldChar w:fldCharType="begin"/>
            </w:r>
            <w:r>
              <w:rPr>
                <w:noProof/>
                <w:webHidden/>
              </w:rPr>
              <w:instrText xml:space="preserve"> PAGEREF _Toc179201987 \h </w:instrText>
            </w:r>
            <w:r>
              <w:rPr>
                <w:noProof/>
                <w:webHidden/>
              </w:rPr>
            </w:r>
            <w:r>
              <w:rPr>
                <w:noProof/>
                <w:webHidden/>
              </w:rPr>
              <w:fldChar w:fldCharType="separate"/>
            </w:r>
            <w:r w:rsidR="00441B5A">
              <w:rPr>
                <w:noProof/>
                <w:webHidden/>
              </w:rPr>
              <w:t>4</w:t>
            </w:r>
            <w:r>
              <w:rPr>
                <w:noProof/>
                <w:webHidden/>
              </w:rPr>
              <w:fldChar w:fldCharType="end"/>
            </w:r>
          </w:hyperlink>
        </w:p>
        <w:p w14:paraId="500987FB" w14:textId="66F7C79F" w:rsidR="00202558" w:rsidRDefault="00202558">
          <w:pPr>
            <w:pStyle w:val="Verzeichnis2"/>
            <w:tabs>
              <w:tab w:val="left" w:pos="880"/>
              <w:tab w:val="right" w:leader="dot" w:pos="9628"/>
            </w:tabs>
            <w:rPr>
              <w:rFonts w:eastAsiaTheme="minorEastAsia" w:cstheme="minorBidi"/>
              <w:noProof/>
              <w:kern w:val="2"/>
              <w:lang w:eastAsia="fi-FI"/>
              <w14:ligatures w14:val="standardContextual"/>
            </w:rPr>
          </w:pPr>
          <w:hyperlink w:anchor="_Toc179201988" w:history="1">
            <w:r w:rsidRPr="00C02D60">
              <w:rPr>
                <w:rStyle w:val="Hyperlink"/>
                <w:noProof/>
                <w:lang w:val="en-GB"/>
              </w:rPr>
              <w:t>4.7</w:t>
            </w:r>
            <w:r>
              <w:rPr>
                <w:rFonts w:eastAsiaTheme="minorEastAsia" w:cstheme="minorBidi"/>
                <w:noProof/>
                <w:kern w:val="2"/>
                <w:lang w:eastAsia="fi-FI"/>
                <w14:ligatures w14:val="standardContextual"/>
              </w:rPr>
              <w:tab/>
            </w:r>
            <w:r w:rsidRPr="00C02D60">
              <w:rPr>
                <w:rStyle w:val="Hyperlink"/>
                <w:noProof/>
                <w:lang w:val="en-GB"/>
              </w:rPr>
              <w:t>Evaluation the results</w:t>
            </w:r>
            <w:r>
              <w:rPr>
                <w:noProof/>
                <w:webHidden/>
              </w:rPr>
              <w:tab/>
            </w:r>
            <w:r>
              <w:rPr>
                <w:noProof/>
                <w:webHidden/>
              </w:rPr>
              <w:fldChar w:fldCharType="begin"/>
            </w:r>
            <w:r>
              <w:rPr>
                <w:noProof/>
                <w:webHidden/>
              </w:rPr>
              <w:instrText xml:space="preserve"> PAGEREF _Toc179201988 \h </w:instrText>
            </w:r>
            <w:r>
              <w:rPr>
                <w:noProof/>
                <w:webHidden/>
              </w:rPr>
            </w:r>
            <w:r>
              <w:rPr>
                <w:noProof/>
                <w:webHidden/>
              </w:rPr>
              <w:fldChar w:fldCharType="separate"/>
            </w:r>
            <w:r w:rsidR="00441B5A">
              <w:rPr>
                <w:noProof/>
                <w:webHidden/>
              </w:rPr>
              <w:t>4</w:t>
            </w:r>
            <w:r>
              <w:rPr>
                <w:noProof/>
                <w:webHidden/>
              </w:rPr>
              <w:fldChar w:fldCharType="end"/>
            </w:r>
          </w:hyperlink>
        </w:p>
        <w:p w14:paraId="18B289AB" w14:textId="2BAE9A2F" w:rsidR="00202558" w:rsidRDefault="00202558">
          <w:pPr>
            <w:pStyle w:val="Verzeichnis1"/>
            <w:tabs>
              <w:tab w:val="left" w:pos="440"/>
              <w:tab w:val="right" w:leader="dot" w:pos="9628"/>
            </w:tabs>
            <w:rPr>
              <w:rFonts w:eastAsiaTheme="minorEastAsia" w:cstheme="minorBidi"/>
              <w:noProof/>
              <w:kern w:val="2"/>
              <w:lang w:eastAsia="fi-FI"/>
              <w14:ligatures w14:val="standardContextual"/>
            </w:rPr>
          </w:pPr>
          <w:hyperlink w:anchor="_Toc179201989" w:history="1">
            <w:r w:rsidRPr="00C02D60">
              <w:rPr>
                <w:rStyle w:val="Hyperlink"/>
                <w:noProof/>
                <w:lang w:val="en-GB"/>
              </w:rPr>
              <w:t>5</w:t>
            </w:r>
            <w:r>
              <w:rPr>
                <w:rFonts w:eastAsiaTheme="minorEastAsia" w:cstheme="minorBidi"/>
                <w:noProof/>
                <w:kern w:val="2"/>
                <w:lang w:eastAsia="fi-FI"/>
                <w14:ligatures w14:val="standardContextual"/>
              </w:rPr>
              <w:tab/>
            </w:r>
            <w:r w:rsidRPr="00C02D60">
              <w:rPr>
                <w:rStyle w:val="Hyperlink"/>
                <w:noProof/>
                <w:lang w:val="en-GB"/>
              </w:rPr>
              <w:t>Course of comparison</w:t>
            </w:r>
            <w:r>
              <w:rPr>
                <w:noProof/>
                <w:webHidden/>
              </w:rPr>
              <w:tab/>
            </w:r>
            <w:r>
              <w:rPr>
                <w:noProof/>
                <w:webHidden/>
              </w:rPr>
              <w:fldChar w:fldCharType="begin"/>
            </w:r>
            <w:r>
              <w:rPr>
                <w:noProof/>
                <w:webHidden/>
              </w:rPr>
              <w:instrText xml:space="preserve"> PAGEREF _Toc179201989 \h </w:instrText>
            </w:r>
            <w:r>
              <w:rPr>
                <w:noProof/>
                <w:webHidden/>
              </w:rPr>
            </w:r>
            <w:r>
              <w:rPr>
                <w:noProof/>
                <w:webHidden/>
              </w:rPr>
              <w:fldChar w:fldCharType="separate"/>
            </w:r>
            <w:r w:rsidR="00441B5A">
              <w:rPr>
                <w:noProof/>
                <w:webHidden/>
              </w:rPr>
              <w:t>4</w:t>
            </w:r>
            <w:r>
              <w:rPr>
                <w:noProof/>
                <w:webHidden/>
              </w:rPr>
              <w:fldChar w:fldCharType="end"/>
            </w:r>
          </w:hyperlink>
        </w:p>
        <w:p w14:paraId="145824AA" w14:textId="7C7B3E2A" w:rsidR="00202558" w:rsidRDefault="00202558">
          <w:pPr>
            <w:pStyle w:val="Verzeichnis2"/>
            <w:tabs>
              <w:tab w:val="left" w:pos="880"/>
              <w:tab w:val="right" w:leader="dot" w:pos="9628"/>
            </w:tabs>
            <w:rPr>
              <w:rFonts w:eastAsiaTheme="minorEastAsia" w:cstheme="minorBidi"/>
              <w:noProof/>
              <w:kern w:val="2"/>
              <w:lang w:eastAsia="fi-FI"/>
              <w14:ligatures w14:val="standardContextual"/>
            </w:rPr>
          </w:pPr>
          <w:hyperlink w:anchor="_Toc179201990" w:history="1">
            <w:r w:rsidRPr="00C02D60">
              <w:rPr>
                <w:rStyle w:val="Hyperlink"/>
                <w:noProof/>
                <w:lang w:val="en-GB"/>
              </w:rPr>
              <w:t>5.1</w:t>
            </w:r>
            <w:r>
              <w:rPr>
                <w:rFonts w:eastAsiaTheme="minorEastAsia" w:cstheme="minorBidi"/>
                <w:noProof/>
                <w:kern w:val="2"/>
                <w:lang w:eastAsia="fi-FI"/>
                <w14:ligatures w14:val="standardContextual"/>
              </w:rPr>
              <w:tab/>
            </w:r>
            <w:r w:rsidRPr="00C02D60">
              <w:rPr>
                <w:rStyle w:val="Hyperlink"/>
                <w:noProof/>
                <w:lang w:val="en-GB"/>
              </w:rPr>
              <w:t>Transport and time schedule</w:t>
            </w:r>
            <w:r>
              <w:rPr>
                <w:noProof/>
                <w:webHidden/>
              </w:rPr>
              <w:tab/>
            </w:r>
            <w:r>
              <w:rPr>
                <w:noProof/>
                <w:webHidden/>
              </w:rPr>
              <w:fldChar w:fldCharType="begin"/>
            </w:r>
            <w:r>
              <w:rPr>
                <w:noProof/>
                <w:webHidden/>
              </w:rPr>
              <w:instrText xml:space="preserve"> PAGEREF _Toc179201990 \h </w:instrText>
            </w:r>
            <w:r>
              <w:rPr>
                <w:noProof/>
                <w:webHidden/>
              </w:rPr>
            </w:r>
            <w:r>
              <w:rPr>
                <w:noProof/>
                <w:webHidden/>
              </w:rPr>
              <w:fldChar w:fldCharType="separate"/>
            </w:r>
            <w:r w:rsidR="00441B5A">
              <w:rPr>
                <w:noProof/>
                <w:webHidden/>
              </w:rPr>
              <w:t>4</w:t>
            </w:r>
            <w:r>
              <w:rPr>
                <w:noProof/>
                <w:webHidden/>
              </w:rPr>
              <w:fldChar w:fldCharType="end"/>
            </w:r>
          </w:hyperlink>
        </w:p>
        <w:p w14:paraId="1483426F" w14:textId="46CFD004" w:rsidR="00202558" w:rsidRDefault="00202558">
          <w:pPr>
            <w:pStyle w:val="Verzeichnis1"/>
            <w:tabs>
              <w:tab w:val="left" w:pos="440"/>
              <w:tab w:val="right" w:leader="dot" w:pos="9628"/>
            </w:tabs>
            <w:rPr>
              <w:rFonts w:eastAsiaTheme="minorEastAsia" w:cstheme="minorBidi"/>
              <w:noProof/>
              <w:kern w:val="2"/>
              <w:lang w:eastAsia="fi-FI"/>
              <w14:ligatures w14:val="standardContextual"/>
            </w:rPr>
          </w:pPr>
          <w:hyperlink w:anchor="_Toc179201991" w:history="1">
            <w:r w:rsidRPr="00C02D60">
              <w:rPr>
                <w:rStyle w:val="Hyperlink"/>
                <w:noProof/>
                <w:lang w:val="en-GB"/>
              </w:rPr>
              <w:t>6</w:t>
            </w:r>
            <w:r>
              <w:rPr>
                <w:rFonts w:eastAsiaTheme="minorEastAsia" w:cstheme="minorBidi"/>
                <w:noProof/>
                <w:kern w:val="2"/>
                <w:lang w:eastAsia="fi-FI"/>
                <w14:ligatures w14:val="standardContextual"/>
              </w:rPr>
              <w:tab/>
            </w:r>
            <w:r w:rsidRPr="00C02D60">
              <w:rPr>
                <w:rStyle w:val="Hyperlink"/>
                <w:noProof/>
                <w:lang w:val="en-GB"/>
              </w:rPr>
              <w:t>References</w:t>
            </w:r>
            <w:r>
              <w:rPr>
                <w:noProof/>
                <w:webHidden/>
              </w:rPr>
              <w:tab/>
            </w:r>
            <w:r>
              <w:rPr>
                <w:noProof/>
                <w:webHidden/>
              </w:rPr>
              <w:fldChar w:fldCharType="begin"/>
            </w:r>
            <w:r>
              <w:rPr>
                <w:noProof/>
                <w:webHidden/>
              </w:rPr>
              <w:instrText xml:space="preserve"> PAGEREF _Toc179201991 \h </w:instrText>
            </w:r>
            <w:r>
              <w:rPr>
                <w:noProof/>
                <w:webHidden/>
              </w:rPr>
            </w:r>
            <w:r>
              <w:rPr>
                <w:noProof/>
                <w:webHidden/>
              </w:rPr>
              <w:fldChar w:fldCharType="separate"/>
            </w:r>
            <w:r w:rsidR="00441B5A">
              <w:rPr>
                <w:noProof/>
                <w:webHidden/>
              </w:rPr>
              <w:t>5</w:t>
            </w:r>
            <w:r>
              <w:rPr>
                <w:noProof/>
                <w:webHidden/>
              </w:rPr>
              <w:fldChar w:fldCharType="end"/>
            </w:r>
          </w:hyperlink>
        </w:p>
        <w:p w14:paraId="0A986A67" w14:textId="224E96DD" w:rsidR="00202558" w:rsidRDefault="00202558">
          <w:pPr>
            <w:pStyle w:val="Verzeichnis1"/>
            <w:tabs>
              <w:tab w:val="right" w:leader="dot" w:pos="9628"/>
            </w:tabs>
            <w:rPr>
              <w:rFonts w:eastAsiaTheme="minorEastAsia" w:cstheme="minorBidi"/>
              <w:noProof/>
              <w:kern w:val="2"/>
              <w:lang w:eastAsia="fi-FI"/>
              <w14:ligatures w14:val="standardContextual"/>
            </w:rPr>
          </w:pPr>
          <w:hyperlink w:anchor="_Toc179201992" w:history="1">
            <w:r w:rsidRPr="00C02D60">
              <w:rPr>
                <w:rStyle w:val="Hyperlink"/>
                <w:noProof/>
                <w:lang w:val="en-GB"/>
              </w:rPr>
              <w:t>Appendix I: Complete addresses of the participants (used for shipment)</w:t>
            </w:r>
            <w:r>
              <w:rPr>
                <w:noProof/>
                <w:webHidden/>
              </w:rPr>
              <w:tab/>
            </w:r>
            <w:r>
              <w:rPr>
                <w:noProof/>
                <w:webHidden/>
              </w:rPr>
              <w:fldChar w:fldCharType="begin"/>
            </w:r>
            <w:r>
              <w:rPr>
                <w:noProof/>
                <w:webHidden/>
              </w:rPr>
              <w:instrText xml:space="preserve"> PAGEREF _Toc179201992 \h </w:instrText>
            </w:r>
            <w:r>
              <w:rPr>
                <w:noProof/>
                <w:webHidden/>
              </w:rPr>
            </w:r>
            <w:r>
              <w:rPr>
                <w:noProof/>
                <w:webHidden/>
              </w:rPr>
              <w:fldChar w:fldCharType="separate"/>
            </w:r>
            <w:r w:rsidR="00441B5A">
              <w:rPr>
                <w:noProof/>
                <w:webHidden/>
              </w:rPr>
              <w:t>6</w:t>
            </w:r>
            <w:r>
              <w:rPr>
                <w:noProof/>
                <w:webHidden/>
              </w:rPr>
              <w:fldChar w:fldCharType="end"/>
            </w:r>
          </w:hyperlink>
        </w:p>
        <w:p w14:paraId="1436AF3D" w14:textId="269FD981" w:rsidR="00202558" w:rsidRDefault="00202558">
          <w:pPr>
            <w:pStyle w:val="Verzeichnis1"/>
            <w:tabs>
              <w:tab w:val="right" w:leader="dot" w:pos="9628"/>
            </w:tabs>
            <w:rPr>
              <w:rFonts w:eastAsiaTheme="minorEastAsia" w:cstheme="minorBidi"/>
              <w:noProof/>
              <w:kern w:val="2"/>
              <w:lang w:eastAsia="fi-FI"/>
              <w14:ligatures w14:val="standardContextual"/>
            </w:rPr>
          </w:pPr>
          <w:hyperlink w:anchor="_Toc179201993" w:history="1">
            <w:r w:rsidRPr="00C02D60">
              <w:rPr>
                <w:rStyle w:val="Hyperlink"/>
                <w:noProof/>
                <w:lang w:val="en-US"/>
              </w:rPr>
              <w:t>Appendix II. Pictures of transfer chambers.</w:t>
            </w:r>
            <w:r>
              <w:rPr>
                <w:noProof/>
                <w:webHidden/>
              </w:rPr>
              <w:tab/>
            </w:r>
            <w:r>
              <w:rPr>
                <w:noProof/>
                <w:webHidden/>
              </w:rPr>
              <w:fldChar w:fldCharType="begin"/>
            </w:r>
            <w:r>
              <w:rPr>
                <w:noProof/>
                <w:webHidden/>
              </w:rPr>
              <w:instrText xml:space="preserve"> PAGEREF _Toc179201993 \h </w:instrText>
            </w:r>
            <w:r>
              <w:rPr>
                <w:noProof/>
                <w:webHidden/>
              </w:rPr>
            </w:r>
            <w:r>
              <w:rPr>
                <w:noProof/>
                <w:webHidden/>
              </w:rPr>
              <w:fldChar w:fldCharType="separate"/>
            </w:r>
            <w:r w:rsidR="00441B5A">
              <w:rPr>
                <w:noProof/>
                <w:webHidden/>
              </w:rPr>
              <w:t>7</w:t>
            </w:r>
            <w:r>
              <w:rPr>
                <w:noProof/>
                <w:webHidden/>
              </w:rPr>
              <w:fldChar w:fldCharType="end"/>
            </w:r>
          </w:hyperlink>
        </w:p>
        <w:p w14:paraId="679C06B2" w14:textId="10ED6505" w:rsidR="003B76B8" w:rsidRPr="007F3B8C" w:rsidRDefault="00441F45">
          <w:pPr>
            <w:rPr>
              <w:lang w:val="en-GB"/>
            </w:rPr>
          </w:pPr>
          <w:r w:rsidRPr="007F3B8C">
            <w:rPr>
              <w:lang w:val="en-GB"/>
            </w:rPr>
            <w:fldChar w:fldCharType="end"/>
          </w:r>
        </w:p>
        <w:p w14:paraId="67B9C788" w14:textId="297E316D" w:rsidR="003B76B8" w:rsidRPr="007F3B8C" w:rsidRDefault="00000000" w:rsidP="003B76B8">
          <w:pPr>
            <w:rPr>
              <w:lang w:val="en-GB"/>
            </w:rPr>
          </w:pPr>
        </w:p>
      </w:sdtContent>
    </w:sdt>
    <w:p w14:paraId="5D28A9AF" w14:textId="77777777" w:rsidR="003B76B8" w:rsidRPr="007F3B8C" w:rsidRDefault="003B76B8">
      <w:pPr>
        <w:rPr>
          <w:lang w:val="en-GB"/>
        </w:rPr>
        <w:sectPr w:rsidR="003B76B8" w:rsidRPr="007F3B8C" w:rsidSect="00A9243F">
          <w:headerReference w:type="default" r:id="rId10"/>
          <w:footerReference w:type="default" r:id="rId11"/>
          <w:pgSz w:w="11906" w:h="16838"/>
          <w:pgMar w:top="2438" w:right="1134" w:bottom="1701" w:left="1134" w:header="709" w:footer="454" w:gutter="0"/>
          <w:pgNumType w:start="1"/>
          <w:cols w:space="708"/>
          <w:docGrid w:linePitch="360"/>
        </w:sectPr>
      </w:pPr>
    </w:p>
    <w:p w14:paraId="7C029362" w14:textId="26DA16C5" w:rsidR="00A43A44" w:rsidRPr="007F3B8C" w:rsidRDefault="001E1804" w:rsidP="00D240A4">
      <w:pPr>
        <w:pStyle w:val="berschrift1"/>
        <w:rPr>
          <w:lang w:val="en-GB"/>
        </w:rPr>
      </w:pPr>
      <w:bookmarkStart w:id="0" w:name="_Toc292459041"/>
      <w:bookmarkStart w:id="1" w:name="_Toc179201976"/>
      <w:r>
        <w:rPr>
          <w:lang w:val="en-GB"/>
        </w:rPr>
        <w:lastRenderedPageBreak/>
        <w:t>Object and participants</w:t>
      </w:r>
      <w:bookmarkEnd w:id="0"/>
      <w:bookmarkEnd w:id="1"/>
    </w:p>
    <w:p w14:paraId="0940E3CE" w14:textId="3D68B069" w:rsidR="00D52B12" w:rsidRDefault="002963D4" w:rsidP="00433A2E">
      <w:pPr>
        <w:pStyle w:val="Textkrper"/>
        <w:rPr>
          <w:lang w:val="en-GB"/>
        </w:rPr>
      </w:pPr>
      <w:r>
        <w:rPr>
          <w:lang w:val="en-GB"/>
        </w:rPr>
        <w:t xml:space="preserve">The National Physics laboratory (NPL, United Kingdom) and Radiation and Nuclear Safety Authority (STUK, Finland) </w:t>
      </w:r>
      <w:r w:rsidR="00433A2E" w:rsidRPr="00433A2E">
        <w:rPr>
          <w:lang w:val="en-GB"/>
        </w:rPr>
        <w:t xml:space="preserve">have agreed to perform </w:t>
      </w:r>
      <w:r w:rsidR="00281319">
        <w:rPr>
          <w:lang w:val="en-GB"/>
        </w:rPr>
        <w:t xml:space="preserve">a </w:t>
      </w:r>
      <w:r w:rsidR="004A1329">
        <w:rPr>
          <w:lang w:val="en-GB"/>
        </w:rPr>
        <w:t xml:space="preserve">bilateral </w:t>
      </w:r>
      <w:r w:rsidR="00433A2E" w:rsidRPr="00433A2E">
        <w:rPr>
          <w:lang w:val="en-GB"/>
        </w:rPr>
        <w:t xml:space="preserve">comparison </w:t>
      </w:r>
      <w:r w:rsidR="004A1329" w:rsidRPr="004A1329">
        <w:rPr>
          <w:lang w:val="en-GB"/>
        </w:rPr>
        <w:t xml:space="preserve">of neutron measuring instruments </w:t>
      </w:r>
      <w:r w:rsidR="00281319">
        <w:rPr>
          <w:lang w:val="en-GB"/>
        </w:rPr>
        <w:t>in terms of</w:t>
      </w:r>
      <w:r w:rsidR="004F1546">
        <w:rPr>
          <w:lang w:val="en-GB"/>
        </w:rPr>
        <w:t xml:space="preserve"> </w:t>
      </w:r>
      <w:r w:rsidR="002A3813" w:rsidRPr="00091509">
        <w:rPr>
          <w:lang w:val="en-GB"/>
        </w:rPr>
        <w:t>fluence</w:t>
      </w:r>
      <w:r w:rsidR="004A1329">
        <w:rPr>
          <w:lang w:val="en-GB"/>
        </w:rPr>
        <w:t xml:space="preserve"> rate</w:t>
      </w:r>
      <w:r w:rsidR="004F1546" w:rsidRPr="00091509">
        <w:rPr>
          <w:lang w:val="en-GB"/>
        </w:rPr>
        <w:t xml:space="preserve"> and dose equivalent</w:t>
      </w:r>
      <w:r w:rsidR="0008549A">
        <w:rPr>
          <w:lang w:val="en-GB"/>
        </w:rPr>
        <w:t>s</w:t>
      </w:r>
      <w:r w:rsidR="004F1546" w:rsidRPr="00091509">
        <w:rPr>
          <w:lang w:val="en-GB"/>
        </w:rPr>
        <w:t xml:space="preserve"> (</w:t>
      </w:r>
      <w:r w:rsidR="002A3813" w:rsidRPr="004A1329">
        <w:rPr>
          <w:i/>
          <w:iCs/>
          <w:lang w:val="en-GB"/>
        </w:rPr>
        <w:t>H</w:t>
      </w:r>
      <w:r w:rsidR="002A3813" w:rsidRPr="00091509">
        <w:rPr>
          <w:lang w:val="en-GB"/>
        </w:rPr>
        <w:t>*</w:t>
      </w:r>
      <w:r w:rsidR="0008549A">
        <w:rPr>
          <w:lang w:val="en-GB"/>
        </w:rPr>
        <w:t>(10)</w:t>
      </w:r>
      <w:r w:rsidR="004F1546" w:rsidRPr="00091509">
        <w:rPr>
          <w:lang w:val="en-GB"/>
        </w:rPr>
        <w:t xml:space="preserve"> and </w:t>
      </w:r>
      <w:proofErr w:type="gramStart"/>
      <w:r w:rsidR="004F1546" w:rsidRPr="004A1329">
        <w:rPr>
          <w:i/>
          <w:iCs/>
          <w:lang w:val="en-GB"/>
        </w:rPr>
        <w:t>H</w:t>
      </w:r>
      <w:r w:rsidR="004F1546" w:rsidRPr="004A1329">
        <w:rPr>
          <w:vertAlign w:val="subscript"/>
          <w:lang w:val="en-GB"/>
        </w:rPr>
        <w:t>p</w:t>
      </w:r>
      <w:r w:rsidR="004F1546" w:rsidRPr="00091509">
        <w:rPr>
          <w:lang w:val="en-GB"/>
        </w:rPr>
        <w:t>(</w:t>
      </w:r>
      <w:proofErr w:type="gramEnd"/>
      <w:r w:rsidR="004F1546" w:rsidRPr="00091509">
        <w:rPr>
          <w:lang w:val="en-GB"/>
        </w:rPr>
        <w:t>10)) in</w:t>
      </w:r>
      <w:r w:rsidR="002A3813" w:rsidRPr="00091509">
        <w:rPr>
          <w:lang w:val="en-GB"/>
        </w:rPr>
        <w:t xml:space="preserve"> </w:t>
      </w:r>
      <w:r w:rsidR="004F1546" w:rsidRPr="00091509">
        <w:rPr>
          <w:vertAlign w:val="superscript"/>
          <w:lang w:val="en-GB"/>
        </w:rPr>
        <w:t>252</w:t>
      </w:r>
      <w:r w:rsidR="004F1546" w:rsidRPr="00091509">
        <w:rPr>
          <w:lang w:val="en-GB"/>
        </w:rPr>
        <w:t>C</w:t>
      </w:r>
      <w:r w:rsidR="0008549A">
        <w:rPr>
          <w:lang w:val="en-GB"/>
        </w:rPr>
        <w:t>f</w:t>
      </w:r>
      <w:r w:rsidR="004F1546" w:rsidRPr="00091509">
        <w:rPr>
          <w:lang w:val="en-GB"/>
        </w:rPr>
        <w:t xml:space="preserve"> and </w:t>
      </w:r>
      <w:r w:rsidR="004F1546" w:rsidRPr="00091509">
        <w:rPr>
          <w:vertAlign w:val="superscript"/>
          <w:lang w:val="en-GB"/>
        </w:rPr>
        <w:t>241</w:t>
      </w:r>
      <w:r w:rsidR="004F1546" w:rsidRPr="00091509">
        <w:rPr>
          <w:lang w:val="en-GB"/>
        </w:rPr>
        <w:t xml:space="preserve">AmBe </w:t>
      </w:r>
      <w:r w:rsidR="002A3813" w:rsidRPr="00091509">
        <w:rPr>
          <w:lang w:val="en-GB"/>
        </w:rPr>
        <w:t xml:space="preserve">neutron beams </w:t>
      </w:r>
      <w:r w:rsidR="004A1329" w:rsidRPr="004A1329">
        <w:rPr>
          <w:lang w:val="en-GB"/>
        </w:rPr>
        <w:t xml:space="preserve">in ISO </w:t>
      </w:r>
      <w:r w:rsidR="00A7547D">
        <w:rPr>
          <w:lang w:val="en-GB"/>
        </w:rPr>
        <w:t xml:space="preserve">8529 </w:t>
      </w:r>
      <w:r w:rsidR="004A1329" w:rsidRPr="004A1329">
        <w:rPr>
          <w:lang w:val="en-GB"/>
        </w:rPr>
        <w:t>neutron reference field</w:t>
      </w:r>
      <w:r w:rsidR="004A1329">
        <w:rPr>
          <w:lang w:val="en-GB"/>
        </w:rPr>
        <w:t>s</w:t>
      </w:r>
      <w:r w:rsidR="002A3813" w:rsidRPr="00091509">
        <w:rPr>
          <w:lang w:val="en-GB"/>
        </w:rPr>
        <w:t>.</w:t>
      </w:r>
      <w:r w:rsidR="00450604">
        <w:rPr>
          <w:lang w:val="en-GB"/>
        </w:rPr>
        <w:t xml:space="preserve"> The comparison in terms of fluence is an EURAMET Key comparison and the comparison in terms of dose equivalents </w:t>
      </w:r>
      <w:r w:rsidR="00450604" w:rsidRPr="00091509">
        <w:rPr>
          <w:lang w:val="en-GB"/>
        </w:rPr>
        <w:t>(</w:t>
      </w:r>
      <w:r w:rsidR="00450604" w:rsidRPr="004A1329">
        <w:rPr>
          <w:i/>
          <w:iCs/>
          <w:lang w:val="en-GB"/>
        </w:rPr>
        <w:t>H</w:t>
      </w:r>
      <w:r w:rsidR="00450604" w:rsidRPr="00091509">
        <w:rPr>
          <w:lang w:val="en-GB"/>
        </w:rPr>
        <w:t>*</w:t>
      </w:r>
      <w:r w:rsidR="00450604">
        <w:rPr>
          <w:lang w:val="en-GB"/>
        </w:rPr>
        <w:t>(10)</w:t>
      </w:r>
      <w:r w:rsidR="00450604" w:rsidRPr="00091509">
        <w:rPr>
          <w:lang w:val="en-GB"/>
        </w:rPr>
        <w:t xml:space="preserve"> and </w:t>
      </w:r>
      <w:proofErr w:type="gramStart"/>
      <w:r w:rsidR="00450604" w:rsidRPr="004A1329">
        <w:rPr>
          <w:i/>
          <w:iCs/>
          <w:lang w:val="en-GB"/>
        </w:rPr>
        <w:t>H</w:t>
      </w:r>
      <w:r w:rsidR="00450604" w:rsidRPr="004A1329">
        <w:rPr>
          <w:vertAlign w:val="subscript"/>
          <w:lang w:val="en-GB"/>
        </w:rPr>
        <w:t>p</w:t>
      </w:r>
      <w:r w:rsidR="00450604" w:rsidRPr="00091509">
        <w:rPr>
          <w:lang w:val="en-GB"/>
        </w:rPr>
        <w:t>(</w:t>
      </w:r>
      <w:proofErr w:type="gramEnd"/>
      <w:r w:rsidR="00450604" w:rsidRPr="00091509">
        <w:rPr>
          <w:lang w:val="en-GB"/>
        </w:rPr>
        <w:t>10))</w:t>
      </w:r>
      <w:r w:rsidR="00450604">
        <w:rPr>
          <w:lang w:val="en-GB"/>
        </w:rPr>
        <w:t xml:space="preserve"> is an EURAMET Supplementary comparison. Comparisons are performed simultaneously</w:t>
      </w:r>
      <w:r w:rsidR="00B03BFB">
        <w:rPr>
          <w:lang w:val="en-GB"/>
        </w:rPr>
        <w:t>.</w:t>
      </w:r>
    </w:p>
    <w:p w14:paraId="3CC1B913" w14:textId="28E1283A" w:rsidR="00311D9B" w:rsidRDefault="00311D9B" w:rsidP="00311D9B">
      <w:pPr>
        <w:pStyle w:val="Textkrper"/>
        <w:rPr>
          <w:lang w:val="en-GB"/>
        </w:rPr>
      </w:pPr>
      <w:r>
        <w:rPr>
          <w:lang w:val="en-GB"/>
        </w:rPr>
        <w:t xml:space="preserve">In the </w:t>
      </w:r>
      <w:r w:rsidRPr="00451D1A">
        <w:rPr>
          <w:lang w:val="en-GB"/>
        </w:rPr>
        <w:t>project t</w:t>
      </w:r>
      <w:r w:rsidR="005C11C5">
        <w:rPr>
          <w:lang w:val="en-GB"/>
        </w:rPr>
        <w:t>wo</w:t>
      </w:r>
      <w:r w:rsidRPr="00451D1A">
        <w:rPr>
          <w:lang w:val="en-GB"/>
        </w:rPr>
        <w:t xml:space="preserve"> transfer </w:t>
      </w:r>
      <w:r w:rsidR="002A3813">
        <w:rPr>
          <w:lang w:val="en-GB"/>
        </w:rPr>
        <w:t>instruments</w:t>
      </w:r>
      <w:r>
        <w:rPr>
          <w:lang w:val="en-GB"/>
        </w:rPr>
        <w:t xml:space="preserve"> </w:t>
      </w:r>
      <w:r w:rsidR="00C579CD">
        <w:rPr>
          <w:lang w:val="en-GB"/>
        </w:rPr>
        <w:t>will be</w:t>
      </w:r>
      <w:r>
        <w:rPr>
          <w:lang w:val="en-GB"/>
        </w:rPr>
        <w:t xml:space="preserve"> circulated among participants and </w:t>
      </w:r>
      <w:r w:rsidR="002A3813">
        <w:rPr>
          <w:lang w:val="en-GB"/>
        </w:rPr>
        <w:t>both</w:t>
      </w:r>
      <w:r w:rsidR="00C579CD">
        <w:rPr>
          <w:lang w:val="en-GB"/>
        </w:rPr>
        <w:t xml:space="preserve"> laborator</w:t>
      </w:r>
      <w:r w:rsidR="002A3813">
        <w:rPr>
          <w:lang w:val="en-GB"/>
        </w:rPr>
        <w:t>ies</w:t>
      </w:r>
      <w:r w:rsidR="00C579CD">
        <w:rPr>
          <w:lang w:val="en-GB"/>
        </w:rPr>
        <w:t xml:space="preserve"> will report </w:t>
      </w:r>
      <w:r>
        <w:rPr>
          <w:lang w:val="en-GB"/>
        </w:rPr>
        <w:t xml:space="preserve">calibration coefficients </w:t>
      </w:r>
      <w:r w:rsidR="00B16A7C">
        <w:rPr>
          <w:lang w:val="en-GB"/>
        </w:rPr>
        <w:t xml:space="preserve">and their expanded uncertainties </w:t>
      </w:r>
      <w:r>
        <w:rPr>
          <w:lang w:val="en-GB"/>
        </w:rPr>
        <w:t xml:space="preserve">for those </w:t>
      </w:r>
      <w:r w:rsidR="002A3813">
        <w:rPr>
          <w:lang w:val="en-GB"/>
        </w:rPr>
        <w:t>instruments</w:t>
      </w:r>
      <w:r>
        <w:rPr>
          <w:lang w:val="en-GB"/>
        </w:rPr>
        <w:t xml:space="preserve"> in terms </w:t>
      </w:r>
      <w:r w:rsidRPr="00451D1A">
        <w:rPr>
          <w:lang w:val="en-GB"/>
        </w:rPr>
        <w:t xml:space="preserve">of </w:t>
      </w:r>
      <w:r w:rsidR="002A3813" w:rsidRPr="00451D1A">
        <w:rPr>
          <w:lang w:val="en-GB"/>
        </w:rPr>
        <w:t>fluence</w:t>
      </w:r>
      <w:r w:rsidR="004A1329">
        <w:rPr>
          <w:lang w:val="en-GB"/>
        </w:rPr>
        <w:t xml:space="preserve"> rate</w:t>
      </w:r>
      <w:r w:rsidR="00975E83" w:rsidRPr="00451D1A">
        <w:rPr>
          <w:lang w:val="en-GB"/>
        </w:rPr>
        <w:t xml:space="preserve"> and dose equivalent</w:t>
      </w:r>
      <w:r w:rsidR="004A1329">
        <w:rPr>
          <w:lang w:val="en-GB"/>
        </w:rPr>
        <w:t>s</w:t>
      </w:r>
      <w:r w:rsidRPr="00451D1A">
        <w:rPr>
          <w:lang w:val="en-GB"/>
        </w:rPr>
        <w:t xml:space="preserve">. </w:t>
      </w:r>
      <w:r w:rsidR="002A3813" w:rsidRPr="00451D1A">
        <w:rPr>
          <w:lang w:val="en-GB"/>
        </w:rPr>
        <w:t xml:space="preserve">NPL </w:t>
      </w:r>
      <w:r w:rsidR="004A75ED">
        <w:rPr>
          <w:lang w:val="en-GB"/>
        </w:rPr>
        <w:t>h</w:t>
      </w:r>
      <w:r w:rsidR="00C36A74" w:rsidRPr="00451D1A">
        <w:rPr>
          <w:lang w:val="en-GB"/>
        </w:rPr>
        <w:t>as</w:t>
      </w:r>
      <w:r w:rsidR="002E623B" w:rsidRPr="00451D1A">
        <w:rPr>
          <w:lang w:val="en-GB"/>
        </w:rPr>
        <w:t xml:space="preserve"> a</w:t>
      </w:r>
      <w:r w:rsidR="00C36A74" w:rsidRPr="00451D1A">
        <w:rPr>
          <w:lang w:val="en-GB"/>
        </w:rPr>
        <w:t xml:space="preserve"> primary </w:t>
      </w:r>
      <w:r w:rsidR="004A75ED">
        <w:rPr>
          <w:lang w:val="en-GB"/>
        </w:rPr>
        <w:t>standard for neutron quantities</w:t>
      </w:r>
      <w:r w:rsidR="00BE5CC2">
        <w:rPr>
          <w:lang w:val="en-GB"/>
        </w:rPr>
        <w:t xml:space="preserve"> and respective CMCs</w:t>
      </w:r>
      <w:r w:rsidR="004A75ED">
        <w:rPr>
          <w:lang w:val="en-GB"/>
        </w:rPr>
        <w:t>. Thus, they</w:t>
      </w:r>
      <w:r w:rsidR="00C36A74" w:rsidRPr="00451D1A">
        <w:rPr>
          <w:lang w:val="en-GB"/>
        </w:rPr>
        <w:t xml:space="preserve"> </w:t>
      </w:r>
      <w:r w:rsidRPr="00451D1A">
        <w:rPr>
          <w:lang w:val="en-GB"/>
        </w:rPr>
        <w:t xml:space="preserve">will provide a link to </w:t>
      </w:r>
      <w:r w:rsidR="00C579CD" w:rsidRPr="00451D1A">
        <w:rPr>
          <w:lang w:val="en-GB"/>
        </w:rPr>
        <w:t>the</w:t>
      </w:r>
      <w:r w:rsidR="00EE25DB">
        <w:rPr>
          <w:lang w:val="en-GB"/>
        </w:rPr>
        <w:t xml:space="preserve"> CCRI(III</w:t>
      </w:r>
      <w:r w:rsidR="00EF0DFA" w:rsidRPr="00451D1A">
        <w:rPr>
          <w:lang w:val="en-GB"/>
        </w:rPr>
        <w:t>)-K9</w:t>
      </w:r>
      <w:r w:rsidR="00EF0DFA">
        <w:rPr>
          <w:lang w:val="en-GB"/>
        </w:rPr>
        <w:t xml:space="preserve"> and</w:t>
      </w:r>
      <w:r w:rsidR="00C579CD" w:rsidRPr="00451D1A">
        <w:rPr>
          <w:lang w:val="en-GB"/>
        </w:rPr>
        <w:t xml:space="preserve"> </w:t>
      </w:r>
      <w:r w:rsidR="00A946AF">
        <w:rPr>
          <w:lang w:val="en-GB"/>
        </w:rPr>
        <w:t xml:space="preserve">CCRI(III)-S1 and CCRI(III)-S2 </w:t>
      </w:r>
      <w:r w:rsidRPr="00451D1A">
        <w:rPr>
          <w:lang w:val="en-GB"/>
        </w:rPr>
        <w:t>comparison</w:t>
      </w:r>
      <w:r w:rsidR="00A946AF">
        <w:rPr>
          <w:lang w:val="en-GB"/>
        </w:rPr>
        <w:t>s</w:t>
      </w:r>
      <w:r w:rsidR="006D5D3B" w:rsidRPr="00451D1A">
        <w:rPr>
          <w:lang w:val="en-GB"/>
        </w:rPr>
        <w:t xml:space="preserve"> </w:t>
      </w:r>
      <w:r w:rsidR="002A3813" w:rsidRPr="00451D1A">
        <w:rPr>
          <w:lang w:val="en-GB"/>
        </w:rPr>
        <w:t xml:space="preserve">as well </w:t>
      </w:r>
      <w:r w:rsidR="002A3813">
        <w:rPr>
          <w:lang w:val="en-GB"/>
        </w:rPr>
        <w:t>as provide the reference value for this comparison.</w:t>
      </w:r>
      <w:r w:rsidR="00EF0DFA">
        <w:rPr>
          <w:lang w:val="en-GB"/>
        </w:rPr>
        <w:t xml:space="preserve"> STUK has secondary standards, with traceability to CMI, for neutron quantities.</w:t>
      </w:r>
      <w:r w:rsidR="004A1329">
        <w:rPr>
          <w:lang w:val="en-GB"/>
        </w:rPr>
        <w:t xml:space="preserve"> </w:t>
      </w:r>
    </w:p>
    <w:p w14:paraId="76DAED39" w14:textId="75F8954A" w:rsidR="00772CFC" w:rsidRDefault="00311D9B" w:rsidP="001649E0">
      <w:pPr>
        <w:pStyle w:val="Textkrper"/>
        <w:rPr>
          <w:lang w:val="en-GB"/>
        </w:rPr>
      </w:pPr>
      <w:r w:rsidRPr="00433A2E">
        <w:rPr>
          <w:lang w:val="en-GB"/>
        </w:rPr>
        <w:t>This technical pr</w:t>
      </w:r>
      <w:r w:rsidR="0086707F">
        <w:rPr>
          <w:lang w:val="en-GB"/>
        </w:rPr>
        <w:t>o</w:t>
      </w:r>
      <w:r w:rsidRPr="00433A2E">
        <w:rPr>
          <w:lang w:val="en-GB"/>
        </w:rPr>
        <w:t>tocol pr</w:t>
      </w:r>
      <w:r>
        <w:rPr>
          <w:lang w:val="en-GB"/>
        </w:rPr>
        <w:t>epared</w:t>
      </w:r>
      <w:r w:rsidRPr="00433A2E">
        <w:rPr>
          <w:lang w:val="en-GB"/>
        </w:rPr>
        <w:t xml:space="preserve"> by the laboratories specifies the procedure to be followed</w:t>
      </w:r>
      <w:r>
        <w:rPr>
          <w:lang w:val="en-GB"/>
        </w:rPr>
        <w:t xml:space="preserve"> in</w:t>
      </w:r>
      <w:r w:rsidRPr="00433A2E">
        <w:rPr>
          <w:lang w:val="en-GB"/>
        </w:rPr>
        <w:t xml:space="preserve"> </w:t>
      </w:r>
      <w:r w:rsidR="00D343AA" w:rsidRPr="00433A2E">
        <w:rPr>
          <w:lang w:val="en-GB"/>
        </w:rPr>
        <w:t>th</w:t>
      </w:r>
      <w:r w:rsidR="00D343AA">
        <w:rPr>
          <w:lang w:val="en-GB"/>
        </w:rPr>
        <w:t>is</w:t>
      </w:r>
      <w:r w:rsidR="00D343AA" w:rsidRPr="00433A2E">
        <w:rPr>
          <w:lang w:val="en-GB"/>
        </w:rPr>
        <w:t xml:space="preserve"> </w:t>
      </w:r>
      <w:r w:rsidR="008A6A39" w:rsidRPr="00433A2E">
        <w:rPr>
          <w:lang w:val="en-GB"/>
        </w:rPr>
        <w:t>comparison</w:t>
      </w:r>
      <w:r w:rsidRPr="00433A2E">
        <w:rPr>
          <w:lang w:val="en-GB"/>
        </w:rPr>
        <w:t>.</w:t>
      </w:r>
      <w:r>
        <w:rPr>
          <w:lang w:val="en-GB"/>
        </w:rPr>
        <w:t xml:space="preserve"> </w:t>
      </w:r>
      <w:r w:rsidRPr="001E1804">
        <w:rPr>
          <w:lang w:val="en-GB"/>
        </w:rPr>
        <w:t xml:space="preserve">The purpose of a comparison is to compare the calibration results of the participating laboratories, not to require </w:t>
      </w:r>
      <w:r w:rsidR="008A6A39">
        <w:rPr>
          <w:lang w:val="en-GB"/>
        </w:rPr>
        <w:t>both</w:t>
      </w:r>
      <w:r w:rsidRPr="001E1804">
        <w:rPr>
          <w:lang w:val="en-GB"/>
        </w:rPr>
        <w:t xml:space="preserve"> participant</w:t>
      </w:r>
      <w:r w:rsidR="008A6A39">
        <w:rPr>
          <w:lang w:val="en-GB"/>
        </w:rPr>
        <w:t>s</w:t>
      </w:r>
      <w:r w:rsidRPr="001E1804">
        <w:rPr>
          <w:lang w:val="en-GB"/>
        </w:rPr>
        <w:t xml:space="preserve"> to adopt precisely the same </w:t>
      </w:r>
      <w:r w:rsidR="0090441B">
        <w:rPr>
          <w:lang w:val="en-GB"/>
        </w:rPr>
        <w:t xml:space="preserve">method and </w:t>
      </w:r>
      <w:r w:rsidRPr="001E1804">
        <w:rPr>
          <w:lang w:val="en-GB"/>
        </w:rPr>
        <w:t xml:space="preserve">conditions of </w:t>
      </w:r>
      <w:r w:rsidR="0090441B">
        <w:rPr>
          <w:lang w:val="en-GB"/>
        </w:rPr>
        <w:t xml:space="preserve">calibration </w:t>
      </w:r>
      <w:r w:rsidRPr="001E1804">
        <w:rPr>
          <w:lang w:val="en-GB"/>
        </w:rPr>
        <w:t>measurement. The protocol, therefore, specifies the procedures necessary for the comparison</w:t>
      </w:r>
      <w:r w:rsidR="003B51DC">
        <w:rPr>
          <w:lang w:val="en-GB"/>
        </w:rPr>
        <w:t>, e.g. reference conditions</w:t>
      </w:r>
      <w:r w:rsidRPr="001E1804">
        <w:rPr>
          <w:lang w:val="en-GB"/>
        </w:rPr>
        <w:t>, but not the procedures used in the calibration of the laboratories being compared.</w:t>
      </w:r>
    </w:p>
    <w:p w14:paraId="01FC5F08" w14:textId="4677A506" w:rsidR="001E1804" w:rsidRDefault="001E1804" w:rsidP="009C4EE5">
      <w:pPr>
        <w:pStyle w:val="berschrift2"/>
        <w:rPr>
          <w:lang w:val="en-GB"/>
        </w:rPr>
      </w:pPr>
      <w:bookmarkStart w:id="2" w:name="_Toc179201977"/>
      <w:r>
        <w:rPr>
          <w:lang w:val="en-GB"/>
        </w:rPr>
        <w:t>Object</w:t>
      </w:r>
      <w:r w:rsidR="008C018E">
        <w:rPr>
          <w:lang w:val="en-GB"/>
        </w:rPr>
        <w:t>ive</w:t>
      </w:r>
      <w:r>
        <w:rPr>
          <w:lang w:val="en-GB"/>
        </w:rPr>
        <w:t xml:space="preserve"> of the comparison</w:t>
      </w:r>
      <w:bookmarkEnd w:id="2"/>
    </w:p>
    <w:p w14:paraId="7DF1E93E" w14:textId="6DADA79E" w:rsidR="001E1804" w:rsidRDefault="001E1804" w:rsidP="001E1804">
      <w:pPr>
        <w:pStyle w:val="Textkrper"/>
        <w:rPr>
          <w:lang w:val="en-GB"/>
        </w:rPr>
      </w:pPr>
      <w:r w:rsidRPr="001E1804">
        <w:rPr>
          <w:lang w:val="en-GB"/>
        </w:rPr>
        <w:t>The object</w:t>
      </w:r>
      <w:r w:rsidR="008C018E">
        <w:rPr>
          <w:lang w:val="en-GB"/>
        </w:rPr>
        <w:t>ive</w:t>
      </w:r>
      <w:r w:rsidRPr="001E1804">
        <w:rPr>
          <w:lang w:val="en-GB"/>
        </w:rPr>
        <w:t xml:space="preserve"> of the comparison is to support the ionising radiation </w:t>
      </w:r>
      <w:r w:rsidR="002A3813">
        <w:rPr>
          <w:lang w:val="en-GB"/>
        </w:rPr>
        <w:t>measurement capability of STUK for neutron quantities</w:t>
      </w:r>
      <w:r w:rsidR="00F22322">
        <w:rPr>
          <w:lang w:val="en-GB"/>
        </w:rPr>
        <w:t xml:space="preserve"> (fluence, </w:t>
      </w:r>
      <w:r w:rsidR="00F22322" w:rsidRPr="004A1329">
        <w:rPr>
          <w:i/>
          <w:iCs/>
          <w:lang w:val="en-GB"/>
        </w:rPr>
        <w:t>H</w:t>
      </w:r>
      <w:r w:rsidR="00F22322" w:rsidRPr="00091509">
        <w:rPr>
          <w:lang w:val="en-GB"/>
        </w:rPr>
        <w:t>*</w:t>
      </w:r>
      <w:r w:rsidR="00F22322">
        <w:rPr>
          <w:lang w:val="en-GB"/>
        </w:rPr>
        <w:t>(10)</w:t>
      </w:r>
      <w:r w:rsidR="00F22322" w:rsidRPr="00091509">
        <w:rPr>
          <w:lang w:val="en-GB"/>
        </w:rPr>
        <w:t xml:space="preserve"> and </w:t>
      </w:r>
      <w:proofErr w:type="gramStart"/>
      <w:r w:rsidR="00F22322" w:rsidRPr="004A1329">
        <w:rPr>
          <w:i/>
          <w:iCs/>
          <w:lang w:val="en-GB"/>
        </w:rPr>
        <w:t>H</w:t>
      </w:r>
      <w:r w:rsidR="00F22322" w:rsidRPr="004A1329">
        <w:rPr>
          <w:vertAlign w:val="subscript"/>
          <w:lang w:val="en-GB"/>
        </w:rPr>
        <w:t>p</w:t>
      </w:r>
      <w:r w:rsidR="00F22322" w:rsidRPr="00091509">
        <w:rPr>
          <w:lang w:val="en-GB"/>
        </w:rPr>
        <w:t>(</w:t>
      </w:r>
      <w:proofErr w:type="gramEnd"/>
      <w:r w:rsidR="00F22322" w:rsidRPr="00091509">
        <w:rPr>
          <w:lang w:val="en-GB"/>
        </w:rPr>
        <w:t>10)</w:t>
      </w:r>
      <w:r w:rsidR="00F22322">
        <w:rPr>
          <w:lang w:val="en-GB"/>
        </w:rPr>
        <w:t>)</w:t>
      </w:r>
      <w:r w:rsidR="008A6A39">
        <w:rPr>
          <w:lang w:val="en-GB"/>
        </w:rPr>
        <w:t xml:space="preserve"> and e</w:t>
      </w:r>
      <w:r w:rsidR="002A3813">
        <w:rPr>
          <w:lang w:val="en-GB"/>
        </w:rPr>
        <w:t xml:space="preserve">ventually, if </w:t>
      </w:r>
      <w:r w:rsidR="008A6A39">
        <w:rPr>
          <w:lang w:val="en-GB"/>
        </w:rPr>
        <w:t xml:space="preserve">succeeding, the future CMC claims for neutron </w:t>
      </w:r>
      <w:r w:rsidR="00AE3355">
        <w:rPr>
          <w:lang w:val="en-GB"/>
        </w:rPr>
        <w:t>fluence</w:t>
      </w:r>
      <w:r w:rsidR="008A6A39">
        <w:rPr>
          <w:lang w:val="en-GB"/>
        </w:rPr>
        <w:t xml:space="preserve"> by STUK. </w:t>
      </w:r>
      <w:r w:rsidR="002A3813">
        <w:rPr>
          <w:lang w:val="en-GB"/>
        </w:rPr>
        <w:t xml:space="preserve"> </w:t>
      </w:r>
    </w:p>
    <w:p w14:paraId="45DFC689" w14:textId="0CE34D64" w:rsidR="00836454" w:rsidRDefault="00836454" w:rsidP="001E1804">
      <w:pPr>
        <w:pStyle w:val="berschrift2"/>
        <w:rPr>
          <w:lang w:val="en-GB"/>
        </w:rPr>
      </w:pPr>
      <w:bookmarkStart w:id="3" w:name="_Toc179201978"/>
      <w:r w:rsidRPr="00836454">
        <w:rPr>
          <w:lang w:val="en-GB"/>
        </w:rPr>
        <w:t>Participants</w:t>
      </w:r>
      <w:bookmarkEnd w:id="3"/>
    </w:p>
    <w:p w14:paraId="071CAA3B" w14:textId="3BBF2C67" w:rsidR="00BB76BF" w:rsidRDefault="00F93530" w:rsidP="00BB76BF">
      <w:pPr>
        <w:pStyle w:val="Textkrper"/>
        <w:rPr>
          <w:lang w:val="en-GB"/>
        </w:rPr>
      </w:pPr>
      <w:r>
        <w:rPr>
          <w:lang w:val="en-GB"/>
        </w:rPr>
        <w:t xml:space="preserve">Table 1 lists the participants. In the Appendix I, the complete contact details for the participants </w:t>
      </w:r>
      <w:r w:rsidR="00F908CA">
        <w:rPr>
          <w:lang w:val="en-GB"/>
        </w:rPr>
        <w:t>are</w:t>
      </w:r>
      <w:r>
        <w:rPr>
          <w:lang w:val="en-GB"/>
        </w:rPr>
        <w:t xml:space="preserve"> presented. </w:t>
      </w:r>
    </w:p>
    <w:p w14:paraId="1A088498" w14:textId="5CB66822" w:rsidR="00311D9B" w:rsidRDefault="00BB76BF" w:rsidP="00F93530">
      <w:pPr>
        <w:pStyle w:val="Textkrper"/>
        <w:spacing w:after="120"/>
        <w:rPr>
          <w:lang w:val="en-GB"/>
        </w:rPr>
      </w:pPr>
      <w:r>
        <w:rPr>
          <w:lang w:val="en-GB"/>
        </w:rPr>
        <w:t xml:space="preserve">Table 1. </w:t>
      </w:r>
      <w:r w:rsidR="005625B8">
        <w:rPr>
          <w:lang w:val="en-GB"/>
        </w:rPr>
        <w:t>P</w:t>
      </w:r>
      <w:r>
        <w:rPr>
          <w:lang w:val="en-GB"/>
        </w:rPr>
        <w:t>articipants of the project</w:t>
      </w:r>
      <w:r w:rsidR="00311D9B">
        <w:rPr>
          <w:lang w:val="en-GB"/>
        </w:rPr>
        <w:t>.</w:t>
      </w:r>
    </w:p>
    <w:tbl>
      <w:tblPr>
        <w:tblStyle w:val="Tabellenraster"/>
        <w:tblpPr w:leftFromText="180" w:rightFromText="180" w:vertAnchor="text" w:horzAnchor="margin" w:tblpXSpec="right" w:tblpY="87"/>
        <w:tblW w:w="0" w:type="auto"/>
        <w:tblLook w:val="04A0" w:firstRow="1" w:lastRow="0" w:firstColumn="1" w:lastColumn="0" w:noHBand="0" w:noVBand="1"/>
      </w:tblPr>
      <w:tblGrid>
        <w:gridCol w:w="1134"/>
        <w:gridCol w:w="1276"/>
        <w:gridCol w:w="1843"/>
        <w:gridCol w:w="2567"/>
        <w:gridCol w:w="2092"/>
      </w:tblGrid>
      <w:tr w:rsidR="00E77E65" w:rsidRPr="00F22322" w14:paraId="119CBF99" w14:textId="74790B48" w:rsidTr="00EE25DB">
        <w:trPr>
          <w:trHeight w:val="1228"/>
        </w:trPr>
        <w:tc>
          <w:tcPr>
            <w:tcW w:w="1134" w:type="dxa"/>
            <w:tcBorders>
              <w:left w:val="nil"/>
              <w:bottom w:val="double" w:sz="4" w:space="0" w:color="auto"/>
            </w:tcBorders>
          </w:tcPr>
          <w:p w14:paraId="6BB9255F" w14:textId="77777777" w:rsidR="00E77E65" w:rsidRPr="00F93530" w:rsidRDefault="00E77E65" w:rsidP="00A93F0D">
            <w:pPr>
              <w:jc w:val="center"/>
              <w:rPr>
                <w:b/>
                <w:bCs/>
                <w:lang w:val="en-GB"/>
              </w:rPr>
            </w:pPr>
            <w:r w:rsidRPr="00F93530">
              <w:rPr>
                <w:b/>
                <w:bCs/>
                <w:lang w:val="en-GB"/>
              </w:rPr>
              <w:t>Institute</w:t>
            </w:r>
          </w:p>
        </w:tc>
        <w:tc>
          <w:tcPr>
            <w:tcW w:w="1276" w:type="dxa"/>
            <w:tcBorders>
              <w:bottom w:val="double" w:sz="4" w:space="0" w:color="auto"/>
            </w:tcBorders>
          </w:tcPr>
          <w:p w14:paraId="38DBA0FA" w14:textId="77777777" w:rsidR="00E77E65" w:rsidRPr="00F93530" w:rsidRDefault="00E77E65" w:rsidP="00A93F0D">
            <w:pPr>
              <w:jc w:val="center"/>
              <w:rPr>
                <w:b/>
                <w:bCs/>
                <w:lang w:val="en-GB"/>
              </w:rPr>
            </w:pPr>
            <w:r w:rsidRPr="00F93530">
              <w:rPr>
                <w:b/>
                <w:bCs/>
                <w:lang w:val="en-GB"/>
              </w:rPr>
              <w:t>Country</w:t>
            </w:r>
          </w:p>
        </w:tc>
        <w:tc>
          <w:tcPr>
            <w:tcW w:w="1843" w:type="dxa"/>
            <w:tcBorders>
              <w:bottom w:val="double" w:sz="4" w:space="0" w:color="auto"/>
            </w:tcBorders>
          </w:tcPr>
          <w:p w14:paraId="5CBB6D36" w14:textId="77777777" w:rsidR="00E77E65" w:rsidRPr="00F93530" w:rsidRDefault="00E77E65" w:rsidP="00A93F0D">
            <w:pPr>
              <w:jc w:val="center"/>
              <w:rPr>
                <w:b/>
                <w:bCs/>
                <w:lang w:val="en-GB"/>
              </w:rPr>
            </w:pPr>
            <w:r w:rsidRPr="00F93530">
              <w:rPr>
                <w:b/>
                <w:bCs/>
                <w:lang w:val="en-GB"/>
              </w:rPr>
              <w:t>Contact person</w:t>
            </w:r>
          </w:p>
        </w:tc>
        <w:tc>
          <w:tcPr>
            <w:tcW w:w="2551" w:type="dxa"/>
            <w:tcBorders>
              <w:bottom w:val="double" w:sz="4" w:space="0" w:color="auto"/>
              <w:right w:val="nil"/>
            </w:tcBorders>
          </w:tcPr>
          <w:p w14:paraId="1D599B05" w14:textId="77777777" w:rsidR="00E77E65" w:rsidRPr="00F93530" w:rsidRDefault="00E77E65" w:rsidP="00A93F0D">
            <w:pPr>
              <w:jc w:val="center"/>
              <w:rPr>
                <w:b/>
                <w:bCs/>
                <w:lang w:val="en-GB"/>
              </w:rPr>
            </w:pPr>
            <w:r w:rsidRPr="00F93530">
              <w:rPr>
                <w:b/>
                <w:bCs/>
                <w:lang w:val="en-GB"/>
              </w:rPr>
              <w:t>e-mail</w:t>
            </w:r>
          </w:p>
        </w:tc>
        <w:tc>
          <w:tcPr>
            <w:tcW w:w="2092" w:type="dxa"/>
            <w:tcBorders>
              <w:bottom w:val="double" w:sz="4" w:space="0" w:color="auto"/>
              <w:right w:val="nil"/>
            </w:tcBorders>
          </w:tcPr>
          <w:p w14:paraId="62B2AFF5" w14:textId="19E3BEDE" w:rsidR="00E77E65" w:rsidRPr="00F93530" w:rsidRDefault="00E77E65" w:rsidP="00A93F0D">
            <w:pPr>
              <w:jc w:val="center"/>
              <w:rPr>
                <w:b/>
                <w:bCs/>
                <w:lang w:val="en-GB"/>
              </w:rPr>
            </w:pPr>
            <w:r>
              <w:rPr>
                <w:b/>
                <w:bCs/>
                <w:lang w:val="en-GB"/>
              </w:rPr>
              <w:t xml:space="preserve">Type of standard </w:t>
            </w:r>
            <w:r w:rsidRPr="00E77E65">
              <w:rPr>
                <w:b/>
                <w:bCs/>
                <w:lang w:val="en-US"/>
              </w:rPr>
              <w:t>and traceability</w:t>
            </w:r>
          </w:p>
        </w:tc>
      </w:tr>
      <w:tr w:rsidR="00E77E65" w:rsidRPr="00E87D7E" w14:paraId="0DA11A8A" w14:textId="7C152BEF" w:rsidTr="00EE25DB">
        <w:trPr>
          <w:trHeight w:val="413"/>
        </w:trPr>
        <w:tc>
          <w:tcPr>
            <w:tcW w:w="1134" w:type="dxa"/>
            <w:tcBorders>
              <w:left w:val="nil"/>
            </w:tcBorders>
            <w:vAlign w:val="center"/>
          </w:tcPr>
          <w:p w14:paraId="4AB4BD47" w14:textId="03203FDE" w:rsidR="00E77E65" w:rsidRPr="00E87D7E" w:rsidRDefault="00E77E65" w:rsidP="004A75ED">
            <w:pPr>
              <w:jc w:val="center"/>
              <w:rPr>
                <w:lang w:val="en-GB"/>
              </w:rPr>
            </w:pPr>
            <w:r>
              <w:rPr>
                <w:lang w:val="en-GB"/>
              </w:rPr>
              <w:t>NPL</w:t>
            </w:r>
          </w:p>
        </w:tc>
        <w:tc>
          <w:tcPr>
            <w:tcW w:w="1276" w:type="dxa"/>
            <w:vAlign w:val="center"/>
          </w:tcPr>
          <w:p w14:paraId="12CE25D0" w14:textId="4A6C6DED" w:rsidR="00E77E65" w:rsidRPr="00E87D7E" w:rsidRDefault="00E77E65" w:rsidP="004A75ED">
            <w:pPr>
              <w:jc w:val="center"/>
              <w:rPr>
                <w:lang w:val="en-GB"/>
              </w:rPr>
            </w:pPr>
            <w:r>
              <w:rPr>
                <w:lang w:val="en-GB"/>
              </w:rPr>
              <w:t>United Kingdom</w:t>
            </w:r>
          </w:p>
        </w:tc>
        <w:tc>
          <w:tcPr>
            <w:tcW w:w="1843" w:type="dxa"/>
            <w:vAlign w:val="center"/>
          </w:tcPr>
          <w:p w14:paraId="098D47F3" w14:textId="5DB4BF2F" w:rsidR="00E77E65" w:rsidRPr="00E87D7E" w:rsidRDefault="00AC530F" w:rsidP="004A75ED">
            <w:pPr>
              <w:jc w:val="center"/>
              <w:rPr>
                <w:lang w:val="en-GB"/>
              </w:rPr>
            </w:pPr>
            <w:r>
              <w:rPr>
                <w:lang w:val="en-GB"/>
              </w:rPr>
              <w:t>Graeme Taylor</w:t>
            </w:r>
          </w:p>
        </w:tc>
        <w:tc>
          <w:tcPr>
            <w:tcW w:w="2551" w:type="dxa"/>
            <w:tcBorders>
              <w:right w:val="nil"/>
            </w:tcBorders>
            <w:vAlign w:val="center"/>
          </w:tcPr>
          <w:p w14:paraId="0C0DEF46" w14:textId="477EE75A" w:rsidR="00E77E65" w:rsidRPr="00AC530F" w:rsidRDefault="00AC530F" w:rsidP="004A75ED">
            <w:pPr>
              <w:jc w:val="center"/>
              <w:rPr>
                <w:lang w:val="en-GB"/>
              </w:rPr>
            </w:pPr>
            <w:r w:rsidRPr="00AC530F">
              <w:rPr>
                <w:lang w:val="en-GB"/>
              </w:rPr>
              <w:t>graeme.taylor@npl.co.uk</w:t>
            </w:r>
          </w:p>
        </w:tc>
        <w:tc>
          <w:tcPr>
            <w:tcW w:w="2092" w:type="dxa"/>
            <w:tcBorders>
              <w:right w:val="nil"/>
            </w:tcBorders>
            <w:vAlign w:val="center"/>
          </w:tcPr>
          <w:p w14:paraId="5343592C" w14:textId="25A9C3FA" w:rsidR="00E77E65" w:rsidRPr="00C66B27" w:rsidRDefault="00E77E65" w:rsidP="004A75ED">
            <w:pPr>
              <w:jc w:val="center"/>
              <w:rPr>
                <w:lang w:val="sv-SE"/>
              </w:rPr>
            </w:pPr>
            <w:r>
              <w:rPr>
                <w:lang w:val="sv-SE"/>
              </w:rPr>
              <w:t>Primary, NPL</w:t>
            </w:r>
          </w:p>
        </w:tc>
      </w:tr>
      <w:tr w:rsidR="00E77E65" w:rsidRPr="00E77E65" w14:paraId="7F01F5AC" w14:textId="303DC7C3" w:rsidTr="00EE25DB">
        <w:trPr>
          <w:trHeight w:val="829"/>
        </w:trPr>
        <w:tc>
          <w:tcPr>
            <w:tcW w:w="1134" w:type="dxa"/>
            <w:tcBorders>
              <w:left w:val="nil"/>
            </w:tcBorders>
            <w:vAlign w:val="center"/>
          </w:tcPr>
          <w:p w14:paraId="4C6D1983" w14:textId="2E271AD7" w:rsidR="00E77E65" w:rsidRPr="00E87D7E" w:rsidRDefault="00E77E65" w:rsidP="004A75ED">
            <w:pPr>
              <w:jc w:val="center"/>
              <w:rPr>
                <w:lang w:val="en-GB"/>
              </w:rPr>
            </w:pPr>
            <w:r w:rsidRPr="00E87D7E">
              <w:rPr>
                <w:lang w:val="en-GB"/>
              </w:rPr>
              <w:t>STUK</w:t>
            </w:r>
          </w:p>
        </w:tc>
        <w:tc>
          <w:tcPr>
            <w:tcW w:w="1276" w:type="dxa"/>
            <w:vAlign w:val="center"/>
          </w:tcPr>
          <w:p w14:paraId="10788199" w14:textId="77777777" w:rsidR="00E77E65" w:rsidRPr="00E87D7E" w:rsidRDefault="00E77E65" w:rsidP="004A75ED">
            <w:pPr>
              <w:jc w:val="center"/>
              <w:rPr>
                <w:lang w:val="en-GB"/>
              </w:rPr>
            </w:pPr>
            <w:r w:rsidRPr="00E87D7E">
              <w:rPr>
                <w:lang w:val="en-GB"/>
              </w:rPr>
              <w:t>Finland</w:t>
            </w:r>
          </w:p>
        </w:tc>
        <w:tc>
          <w:tcPr>
            <w:tcW w:w="1843" w:type="dxa"/>
            <w:vAlign w:val="center"/>
          </w:tcPr>
          <w:p w14:paraId="7A10773C" w14:textId="5F37578E" w:rsidR="00E77E65" w:rsidRPr="00E87D7E" w:rsidRDefault="00E77E65" w:rsidP="004A75ED">
            <w:pPr>
              <w:jc w:val="center"/>
              <w:rPr>
                <w:lang w:val="en-GB"/>
              </w:rPr>
            </w:pPr>
            <w:r>
              <w:rPr>
                <w:lang w:val="en-GB"/>
              </w:rPr>
              <w:t>Jussi Huikari</w:t>
            </w:r>
            <w:r w:rsidR="004A75ED">
              <w:rPr>
                <w:lang w:val="en-GB"/>
              </w:rPr>
              <w:t xml:space="preserve"> (measurements and data)</w:t>
            </w:r>
          </w:p>
        </w:tc>
        <w:tc>
          <w:tcPr>
            <w:tcW w:w="2551" w:type="dxa"/>
            <w:tcBorders>
              <w:right w:val="nil"/>
            </w:tcBorders>
            <w:vAlign w:val="center"/>
          </w:tcPr>
          <w:p w14:paraId="64BB42E3" w14:textId="56F790C5" w:rsidR="00E77E65" w:rsidRPr="00D6588C" w:rsidRDefault="00E77E65" w:rsidP="004A75ED">
            <w:pPr>
              <w:jc w:val="center"/>
              <w:rPr>
                <w:lang w:val="en-GB"/>
              </w:rPr>
            </w:pPr>
            <w:r>
              <w:rPr>
                <w:rStyle w:val="Hyperlink"/>
                <w:color w:val="auto"/>
                <w:u w:val="none"/>
                <w:lang w:val="en-GB"/>
              </w:rPr>
              <w:t>jussi.huikari@stuk.fi</w:t>
            </w:r>
          </w:p>
        </w:tc>
        <w:tc>
          <w:tcPr>
            <w:tcW w:w="2092" w:type="dxa"/>
            <w:tcBorders>
              <w:right w:val="nil"/>
            </w:tcBorders>
            <w:vAlign w:val="center"/>
          </w:tcPr>
          <w:p w14:paraId="4D253FA2" w14:textId="772B8177" w:rsidR="00E77E65" w:rsidRPr="00D6588C" w:rsidRDefault="00E77E65" w:rsidP="004A75ED">
            <w:pPr>
              <w:jc w:val="center"/>
              <w:rPr>
                <w:rStyle w:val="Hyperlink"/>
                <w:color w:val="auto"/>
                <w:u w:val="none"/>
                <w:lang w:val="en-GB"/>
              </w:rPr>
            </w:pPr>
            <w:r>
              <w:rPr>
                <w:rStyle w:val="Hyperlink"/>
                <w:color w:val="auto"/>
                <w:u w:val="none"/>
                <w:lang w:val="en-GB"/>
              </w:rPr>
              <w:t xml:space="preserve">Secondary, </w:t>
            </w:r>
            <w:r w:rsidR="00AB5BAB">
              <w:rPr>
                <w:rStyle w:val="Hyperlink"/>
                <w:color w:val="auto"/>
                <w:u w:val="none"/>
                <w:lang w:val="en-GB"/>
              </w:rPr>
              <w:t>traceable to</w:t>
            </w:r>
            <w:r w:rsidR="00F22322">
              <w:rPr>
                <w:rStyle w:val="Hyperlink"/>
                <w:color w:val="auto"/>
                <w:u w:val="none"/>
                <w:lang w:val="en-GB"/>
              </w:rPr>
              <w:t xml:space="preserve"> </w:t>
            </w:r>
            <w:r>
              <w:rPr>
                <w:rStyle w:val="Hyperlink"/>
                <w:color w:val="auto"/>
                <w:u w:val="none"/>
                <w:lang w:val="en-GB"/>
              </w:rPr>
              <w:t>CMI</w:t>
            </w:r>
          </w:p>
        </w:tc>
      </w:tr>
      <w:tr w:rsidR="004A75ED" w:rsidRPr="00E77E65" w14:paraId="42437312" w14:textId="77777777" w:rsidTr="00EE25DB">
        <w:trPr>
          <w:trHeight w:val="476"/>
        </w:trPr>
        <w:tc>
          <w:tcPr>
            <w:tcW w:w="1134" w:type="dxa"/>
            <w:tcBorders>
              <w:left w:val="nil"/>
            </w:tcBorders>
            <w:vAlign w:val="center"/>
          </w:tcPr>
          <w:p w14:paraId="0BF54594" w14:textId="17A51285" w:rsidR="004A75ED" w:rsidRPr="00E87D7E" w:rsidRDefault="004A75ED" w:rsidP="004A75ED">
            <w:pPr>
              <w:jc w:val="center"/>
              <w:rPr>
                <w:lang w:val="en-GB"/>
              </w:rPr>
            </w:pPr>
            <w:r>
              <w:rPr>
                <w:lang w:val="en-GB"/>
              </w:rPr>
              <w:lastRenderedPageBreak/>
              <w:t>STUK</w:t>
            </w:r>
          </w:p>
        </w:tc>
        <w:tc>
          <w:tcPr>
            <w:tcW w:w="1276" w:type="dxa"/>
            <w:vAlign w:val="center"/>
          </w:tcPr>
          <w:p w14:paraId="5B7AF191" w14:textId="023B8CCE" w:rsidR="004A75ED" w:rsidRPr="00E87D7E" w:rsidRDefault="004A75ED" w:rsidP="004A75ED">
            <w:pPr>
              <w:jc w:val="center"/>
              <w:rPr>
                <w:lang w:val="en-GB"/>
              </w:rPr>
            </w:pPr>
            <w:r>
              <w:rPr>
                <w:lang w:val="en-GB"/>
              </w:rPr>
              <w:t>Finland</w:t>
            </w:r>
          </w:p>
        </w:tc>
        <w:tc>
          <w:tcPr>
            <w:tcW w:w="1843" w:type="dxa"/>
            <w:vAlign w:val="center"/>
          </w:tcPr>
          <w:p w14:paraId="1692275D" w14:textId="616974CA" w:rsidR="004A75ED" w:rsidRDefault="004A75ED" w:rsidP="004A75ED">
            <w:pPr>
              <w:jc w:val="center"/>
              <w:rPr>
                <w:lang w:val="en-GB"/>
              </w:rPr>
            </w:pPr>
            <w:r>
              <w:rPr>
                <w:lang w:val="en-GB"/>
              </w:rPr>
              <w:t>Reetta Nylund (</w:t>
            </w:r>
            <w:r w:rsidR="00CC4326">
              <w:rPr>
                <w:lang w:val="en-GB"/>
              </w:rPr>
              <w:t>reporting</w:t>
            </w:r>
            <w:r>
              <w:rPr>
                <w:lang w:val="en-GB"/>
              </w:rPr>
              <w:t>)</w:t>
            </w:r>
          </w:p>
        </w:tc>
        <w:tc>
          <w:tcPr>
            <w:tcW w:w="2551" w:type="dxa"/>
            <w:tcBorders>
              <w:right w:val="nil"/>
            </w:tcBorders>
            <w:vAlign w:val="center"/>
          </w:tcPr>
          <w:p w14:paraId="7FFCCC89" w14:textId="41B34072" w:rsidR="004A75ED" w:rsidRPr="004A75ED" w:rsidRDefault="004A75ED" w:rsidP="004A75ED">
            <w:pPr>
              <w:jc w:val="center"/>
              <w:rPr>
                <w:rStyle w:val="Hyperlink"/>
                <w:color w:val="auto"/>
                <w:u w:val="none"/>
                <w:lang w:val="en-GB"/>
              </w:rPr>
            </w:pPr>
            <w:r w:rsidRPr="004A75ED">
              <w:rPr>
                <w:rStyle w:val="Hyperlink"/>
                <w:color w:val="auto"/>
                <w:u w:val="none"/>
                <w:lang w:val="en-GB"/>
              </w:rPr>
              <w:t>r</w:t>
            </w:r>
            <w:r w:rsidRPr="00EE25DB">
              <w:rPr>
                <w:rStyle w:val="Hyperlink"/>
                <w:color w:val="auto"/>
                <w:u w:val="none"/>
              </w:rPr>
              <w:t>eetta.nylund@stuk.fi</w:t>
            </w:r>
          </w:p>
        </w:tc>
        <w:tc>
          <w:tcPr>
            <w:tcW w:w="2092" w:type="dxa"/>
            <w:tcBorders>
              <w:right w:val="nil"/>
            </w:tcBorders>
            <w:vAlign w:val="center"/>
          </w:tcPr>
          <w:p w14:paraId="203F94FD" w14:textId="77777777" w:rsidR="004A75ED" w:rsidRDefault="004A75ED" w:rsidP="004A75ED">
            <w:pPr>
              <w:jc w:val="center"/>
              <w:rPr>
                <w:rStyle w:val="Hyperlink"/>
                <w:color w:val="auto"/>
                <w:u w:val="none"/>
                <w:lang w:val="en-GB"/>
              </w:rPr>
            </w:pPr>
          </w:p>
        </w:tc>
      </w:tr>
    </w:tbl>
    <w:p w14:paraId="244DDFB6" w14:textId="77777777" w:rsidR="00EE25DB" w:rsidRDefault="00EE25DB" w:rsidP="00EE25DB">
      <w:pPr>
        <w:pStyle w:val="berschrift1"/>
        <w:numPr>
          <w:ilvl w:val="0"/>
          <w:numId w:val="0"/>
        </w:numPr>
        <w:ind w:left="1304" w:hanging="1304"/>
        <w:rPr>
          <w:lang w:val="en-GB"/>
        </w:rPr>
      </w:pPr>
      <w:bookmarkStart w:id="4" w:name="_Toc179201979"/>
    </w:p>
    <w:p w14:paraId="155A9C23" w14:textId="77777777" w:rsidR="00EE25DB" w:rsidRPr="00EE25DB" w:rsidRDefault="00EE25DB" w:rsidP="00EE25DB">
      <w:pPr>
        <w:pStyle w:val="Textkrper"/>
        <w:rPr>
          <w:lang w:val="en-GB"/>
        </w:rPr>
      </w:pPr>
    </w:p>
    <w:p w14:paraId="5EDF0930" w14:textId="0CE0BA0B" w:rsidR="00836454" w:rsidRDefault="005F16D1" w:rsidP="00836454">
      <w:pPr>
        <w:pStyle w:val="berschrift1"/>
        <w:rPr>
          <w:lang w:val="en-GB"/>
        </w:rPr>
      </w:pPr>
      <w:r>
        <w:rPr>
          <w:lang w:val="en-GB"/>
        </w:rPr>
        <w:t>Transfer instruments</w:t>
      </w:r>
      <w:bookmarkEnd w:id="4"/>
    </w:p>
    <w:p w14:paraId="2FA2602E" w14:textId="7DE18FDF" w:rsidR="000522B7" w:rsidRDefault="005F16D1" w:rsidP="000522B7">
      <w:pPr>
        <w:pStyle w:val="Textkrper"/>
        <w:rPr>
          <w:lang w:val="en-GB"/>
        </w:rPr>
      </w:pPr>
      <w:r>
        <w:rPr>
          <w:lang w:val="en-GB"/>
        </w:rPr>
        <w:t>T</w:t>
      </w:r>
      <w:r w:rsidR="005C11C5">
        <w:rPr>
          <w:lang w:val="en-GB"/>
        </w:rPr>
        <w:t>wo</w:t>
      </w:r>
      <w:r w:rsidR="00E77E65">
        <w:rPr>
          <w:lang w:val="en-GB"/>
        </w:rPr>
        <w:t xml:space="preserve"> instruments will </w:t>
      </w:r>
      <w:r w:rsidR="00E81AAC">
        <w:rPr>
          <w:lang w:val="en-GB"/>
        </w:rPr>
        <w:t>be</w:t>
      </w:r>
      <w:r>
        <w:rPr>
          <w:lang w:val="en-GB"/>
        </w:rPr>
        <w:t xml:space="preserve"> used as transfer instruments for this comparison. </w:t>
      </w:r>
      <w:r w:rsidR="00BB0ECB">
        <w:rPr>
          <w:lang w:val="en-GB"/>
        </w:rPr>
        <w:t xml:space="preserve">The quantity measured depends on the instrument and quantities are specified for </w:t>
      </w:r>
      <w:r w:rsidR="001E4BD7">
        <w:rPr>
          <w:lang w:val="en-GB"/>
        </w:rPr>
        <w:t>both</w:t>
      </w:r>
      <w:r w:rsidR="00BB0ECB">
        <w:rPr>
          <w:lang w:val="en-GB"/>
        </w:rPr>
        <w:t xml:space="preserve"> instrument</w:t>
      </w:r>
      <w:r w:rsidR="001E4BD7">
        <w:rPr>
          <w:lang w:val="en-GB"/>
        </w:rPr>
        <w:t>s</w:t>
      </w:r>
      <w:r w:rsidR="00BB0ECB">
        <w:rPr>
          <w:lang w:val="en-GB"/>
        </w:rPr>
        <w:t xml:space="preserve"> in table 2. </w:t>
      </w:r>
      <w:r w:rsidR="00D7354F">
        <w:rPr>
          <w:lang w:val="en-GB"/>
        </w:rPr>
        <w:t xml:space="preserve"> </w:t>
      </w:r>
      <w:r w:rsidR="00311D9B">
        <w:rPr>
          <w:lang w:val="en-GB"/>
        </w:rPr>
        <w:t xml:space="preserve">The </w:t>
      </w:r>
      <w:r w:rsidR="00DA2BAD">
        <w:rPr>
          <w:lang w:val="en-GB"/>
        </w:rPr>
        <w:t>instruments</w:t>
      </w:r>
      <w:r w:rsidR="00311D9B">
        <w:rPr>
          <w:lang w:val="en-GB"/>
        </w:rPr>
        <w:t xml:space="preserve"> are a property of </w:t>
      </w:r>
      <w:r w:rsidR="00211014">
        <w:rPr>
          <w:lang w:val="en-GB"/>
        </w:rPr>
        <w:t xml:space="preserve">STUK, which </w:t>
      </w:r>
      <w:r w:rsidR="008C61BA">
        <w:rPr>
          <w:lang w:val="en-GB"/>
        </w:rPr>
        <w:t>ha</w:t>
      </w:r>
      <w:r w:rsidR="00211014">
        <w:rPr>
          <w:lang w:val="en-GB"/>
        </w:rPr>
        <w:t>s</w:t>
      </w:r>
      <w:r w:rsidR="008C61BA">
        <w:rPr>
          <w:lang w:val="en-GB"/>
        </w:rPr>
        <w:t xml:space="preserve"> stability data for these </w:t>
      </w:r>
      <w:r w:rsidR="00211014">
        <w:rPr>
          <w:lang w:val="en-GB"/>
        </w:rPr>
        <w:t xml:space="preserve">instruments </w:t>
      </w:r>
      <w:r w:rsidR="008C61BA">
        <w:rPr>
          <w:lang w:val="en-GB"/>
        </w:rPr>
        <w:t>available</w:t>
      </w:r>
      <w:r w:rsidR="00DA2BAD">
        <w:rPr>
          <w:lang w:val="en-GB"/>
        </w:rPr>
        <w:t>. This data</w:t>
      </w:r>
      <w:r w:rsidR="005F67E3">
        <w:rPr>
          <w:lang w:val="en-GB"/>
        </w:rPr>
        <w:t xml:space="preserve"> can be used if needed to evaluate </w:t>
      </w:r>
      <w:r w:rsidR="00DA2BAD">
        <w:rPr>
          <w:lang w:val="en-GB"/>
        </w:rPr>
        <w:t>instrument</w:t>
      </w:r>
      <w:r w:rsidR="005F67E3">
        <w:rPr>
          <w:lang w:val="en-GB"/>
        </w:rPr>
        <w:t xml:space="preserve"> stability during the </w:t>
      </w:r>
      <w:r w:rsidR="005F67E3" w:rsidRPr="00FC0A04">
        <w:rPr>
          <w:lang w:val="en-GB"/>
        </w:rPr>
        <w:t>compari</w:t>
      </w:r>
      <w:r w:rsidR="00DA2BAD" w:rsidRPr="00FC0A04">
        <w:rPr>
          <w:lang w:val="en-GB"/>
        </w:rPr>
        <w:t>s</w:t>
      </w:r>
      <w:r w:rsidR="005F67E3" w:rsidRPr="00FC0A04">
        <w:rPr>
          <w:lang w:val="en-GB"/>
        </w:rPr>
        <w:t>on</w:t>
      </w:r>
      <w:r w:rsidR="00D7354F" w:rsidRPr="00FC0A04">
        <w:rPr>
          <w:lang w:val="en-GB"/>
        </w:rPr>
        <w:t xml:space="preserve">. </w:t>
      </w:r>
      <w:r w:rsidR="00AE3355">
        <w:rPr>
          <w:lang w:val="en-GB"/>
        </w:rPr>
        <w:t xml:space="preserve">The known feature of Berthold LB6411 is long prewarming before it is stabilised. By repeated measurements we know that about 20 mSv dose will be enough for Berthold to reach count rate plateu and it repeats itself very well on that plateau. </w:t>
      </w:r>
      <w:r w:rsidR="00DA2BAD" w:rsidRPr="00FC0A04">
        <w:rPr>
          <w:lang w:val="en-US"/>
        </w:rPr>
        <w:t>No additional</w:t>
      </w:r>
      <w:r w:rsidR="00735E58" w:rsidRPr="00FC0A04">
        <w:rPr>
          <w:lang w:val="en-US"/>
        </w:rPr>
        <w:t xml:space="preserve"> instruments (e.g. software for reading instrument output)</w:t>
      </w:r>
      <w:r w:rsidR="00DA2BAD" w:rsidRPr="00FC0A04">
        <w:rPr>
          <w:lang w:val="en-US"/>
        </w:rPr>
        <w:t xml:space="preserve"> will be circulated</w:t>
      </w:r>
      <w:r w:rsidR="00735E58" w:rsidRPr="00FC0A04">
        <w:rPr>
          <w:lang w:val="en-US"/>
        </w:rPr>
        <w:t xml:space="preserve"> with transfer instrument.</w:t>
      </w:r>
      <w:r w:rsidR="00DA2BAD" w:rsidRPr="00FC0A04">
        <w:rPr>
          <w:lang w:val="en-US"/>
        </w:rPr>
        <w:t xml:space="preserve"> </w:t>
      </w:r>
      <w:r w:rsidR="00D7354F" w:rsidRPr="00FC0A04">
        <w:rPr>
          <w:lang w:val="en-GB"/>
        </w:rPr>
        <w:t>The</w:t>
      </w:r>
      <w:r w:rsidR="0032169B" w:rsidRPr="00FC0A04">
        <w:rPr>
          <w:lang w:val="en-GB"/>
        </w:rPr>
        <w:t xml:space="preserve"> details of th</w:t>
      </w:r>
      <w:r w:rsidR="009261D0" w:rsidRPr="00FC0A04">
        <w:rPr>
          <w:lang w:val="en-GB"/>
        </w:rPr>
        <w:t>e measurement equipment (e.g. technical mode)</w:t>
      </w:r>
      <w:r w:rsidR="0032169B" w:rsidRPr="00FC0A04">
        <w:rPr>
          <w:lang w:val="en-GB"/>
        </w:rPr>
        <w:t xml:space="preserve"> </w:t>
      </w:r>
      <w:r w:rsidR="00D7354F" w:rsidRPr="00FC0A04">
        <w:rPr>
          <w:lang w:val="en-GB"/>
        </w:rPr>
        <w:t xml:space="preserve">shall be specified when </w:t>
      </w:r>
      <w:r w:rsidR="00D7354F">
        <w:rPr>
          <w:lang w:val="en-GB"/>
        </w:rPr>
        <w:t>reporting results.</w:t>
      </w:r>
    </w:p>
    <w:p w14:paraId="1ACFED51" w14:textId="0DCE6EE7" w:rsidR="005F16D1" w:rsidRDefault="005F16D1" w:rsidP="005F16D1">
      <w:pPr>
        <w:pStyle w:val="Textkrper"/>
        <w:rPr>
          <w:lang w:val="en-GB"/>
        </w:rPr>
      </w:pPr>
      <w:r>
        <w:rPr>
          <w:lang w:val="en-GB"/>
        </w:rPr>
        <w:t xml:space="preserve">The technical details of the </w:t>
      </w:r>
      <w:r w:rsidR="00A946AF">
        <w:rPr>
          <w:lang w:val="en-GB"/>
        </w:rPr>
        <w:t xml:space="preserve">instruments </w:t>
      </w:r>
      <w:r>
        <w:rPr>
          <w:lang w:val="en-GB"/>
        </w:rPr>
        <w:t xml:space="preserve">are in the table </w:t>
      </w:r>
      <w:r w:rsidR="00735E58">
        <w:rPr>
          <w:lang w:val="en-GB"/>
        </w:rPr>
        <w:t>2</w:t>
      </w:r>
      <w:r w:rsidR="00ED7807">
        <w:rPr>
          <w:lang w:val="en-GB"/>
        </w:rPr>
        <w:t>.</w:t>
      </w:r>
    </w:p>
    <w:p w14:paraId="1699A45B" w14:textId="702E5891" w:rsidR="005F16D1" w:rsidRDefault="005F16D1" w:rsidP="005F16D1">
      <w:pPr>
        <w:pStyle w:val="Textkrper"/>
        <w:rPr>
          <w:lang w:val="en-GB"/>
        </w:rPr>
      </w:pPr>
      <w:r>
        <w:rPr>
          <w:lang w:val="en-GB"/>
        </w:rPr>
        <w:t xml:space="preserve">Table </w:t>
      </w:r>
      <w:r w:rsidR="00735E58">
        <w:rPr>
          <w:lang w:val="en-GB"/>
        </w:rPr>
        <w:t>2</w:t>
      </w:r>
      <w:r>
        <w:rPr>
          <w:lang w:val="en-GB"/>
        </w:rPr>
        <w:t xml:space="preserve">. Technical data of the transfer </w:t>
      </w:r>
      <w:r w:rsidR="00735E58">
        <w:rPr>
          <w:lang w:val="en-GB"/>
        </w:rPr>
        <w:t>instruments</w:t>
      </w:r>
      <w:r w:rsidR="00CD6D1B">
        <w:rPr>
          <w:lang w:val="en-GB"/>
        </w:rPr>
        <w:t>.</w:t>
      </w:r>
    </w:p>
    <w:tbl>
      <w:tblPr>
        <w:tblStyle w:val="Tabellenraster"/>
        <w:tblW w:w="0" w:type="auto"/>
        <w:tblInd w:w="1304" w:type="dxa"/>
        <w:tblBorders>
          <w:left w:val="none" w:sz="0" w:space="0" w:color="auto"/>
          <w:right w:val="none" w:sz="0" w:space="0" w:color="auto"/>
        </w:tblBorders>
        <w:tblLook w:val="04A0" w:firstRow="1" w:lastRow="0" w:firstColumn="1" w:lastColumn="0" w:noHBand="0" w:noVBand="1"/>
      </w:tblPr>
      <w:tblGrid>
        <w:gridCol w:w="2671"/>
        <w:gridCol w:w="2557"/>
        <w:gridCol w:w="2597"/>
      </w:tblGrid>
      <w:tr w:rsidR="005C11C5" w14:paraId="4804B341" w14:textId="5C5D0A3B" w:rsidTr="005C11C5">
        <w:trPr>
          <w:trHeight w:val="480"/>
        </w:trPr>
        <w:tc>
          <w:tcPr>
            <w:tcW w:w="2671" w:type="dxa"/>
            <w:tcBorders>
              <w:bottom w:val="double" w:sz="4" w:space="0" w:color="000000" w:themeColor="text1"/>
            </w:tcBorders>
          </w:tcPr>
          <w:p w14:paraId="58D3BB86" w14:textId="3D089A3A" w:rsidR="005C11C5" w:rsidRDefault="005C11C5" w:rsidP="00C958A1">
            <w:pPr>
              <w:pStyle w:val="Textkrper"/>
              <w:ind w:left="0"/>
              <w:jc w:val="center"/>
              <w:rPr>
                <w:lang w:val="en-GB"/>
              </w:rPr>
            </w:pPr>
            <w:r w:rsidRPr="00F93530">
              <w:rPr>
                <w:b/>
                <w:bCs/>
                <w:lang w:val="en-GB"/>
              </w:rPr>
              <w:t>Chamber type</w:t>
            </w:r>
            <w:r>
              <w:rPr>
                <w:b/>
                <w:bCs/>
                <w:lang w:val="en-GB"/>
              </w:rPr>
              <w:t xml:space="preserve"> </w:t>
            </w:r>
          </w:p>
        </w:tc>
        <w:tc>
          <w:tcPr>
            <w:tcW w:w="2557" w:type="dxa"/>
            <w:tcBorders>
              <w:bottom w:val="double" w:sz="4" w:space="0" w:color="000000" w:themeColor="text1"/>
            </w:tcBorders>
          </w:tcPr>
          <w:p w14:paraId="4DCDE7DC" w14:textId="708E7D8F" w:rsidR="005C11C5" w:rsidRDefault="005C11C5" w:rsidP="00C958A1">
            <w:pPr>
              <w:pStyle w:val="Textkrper"/>
              <w:ind w:left="0"/>
              <w:jc w:val="center"/>
              <w:rPr>
                <w:lang w:val="en-GB"/>
              </w:rPr>
            </w:pPr>
            <w:r>
              <w:rPr>
                <w:b/>
                <w:bCs/>
                <w:lang w:val="sv-SE"/>
              </w:rPr>
              <w:t>Berthold LB6411</w:t>
            </w:r>
          </w:p>
        </w:tc>
        <w:tc>
          <w:tcPr>
            <w:tcW w:w="2597" w:type="dxa"/>
            <w:tcBorders>
              <w:bottom w:val="double" w:sz="4" w:space="0" w:color="000000" w:themeColor="text1"/>
            </w:tcBorders>
          </w:tcPr>
          <w:p w14:paraId="785E5452" w14:textId="5F9F2F3A" w:rsidR="005C11C5" w:rsidRPr="00CA20EA" w:rsidRDefault="005C11C5" w:rsidP="00AC530F">
            <w:pPr>
              <w:pStyle w:val="Textkrper"/>
              <w:ind w:left="0"/>
              <w:jc w:val="center"/>
              <w:rPr>
                <w:b/>
                <w:bCs/>
                <w:lang w:val="en-GB"/>
              </w:rPr>
            </w:pPr>
            <w:r w:rsidRPr="00CA20EA">
              <w:rPr>
                <w:b/>
                <w:bCs/>
                <w:lang w:val="en-GB"/>
              </w:rPr>
              <w:t>DMC</w:t>
            </w:r>
            <w:r w:rsidR="00CC4326">
              <w:rPr>
                <w:b/>
                <w:bCs/>
                <w:lang w:val="en-GB"/>
              </w:rPr>
              <w:t xml:space="preserve"> </w:t>
            </w:r>
            <w:r w:rsidRPr="00CA20EA">
              <w:rPr>
                <w:b/>
                <w:bCs/>
                <w:lang w:val="en-GB"/>
              </w:rPr>
              <w:t>3000</w:t>
            </w:r>
          </w:p>
        </w:tc>
      </w:tr>
      <w:tr w:rsidR="005C11C5" w:rsidRPr="00F22322" w14:paraId="0668D9F8" w14:textId="55D5B44A" w:rsidTr="005C11C5">
        <w:trPr>
          <w:trHeight w:val="1473"/>
        </w:trPr>
        <w:tc>
          <w:tcPr>
            <w:tcW w:w="2671" w:type="dxa"/>
            <w:tcBorders>
              <w:top w:val="double" w:sz="4" w:space="0" w:color="000000" w:themeColor="text1"/>
            </w:tcBorders>
          </w:tcPr>
          <w:p w14:paraId="775DA412" w14:textId="2080829C" w:rsidR="005C11C5" w:rsidRPr="00BB0ECB" w:rsidRDefault="005C11C5" w:rsidP="00C958A1">
            <w:pPr>
              <w:pStyle w:val="Textkrper"/>
              <w:ind w:left="0"/>
              <w:jc w:val="center"/>
              <w:rPr>
                <w:color w:val="000000" w:themeColor="text1"/>
                <w:lang w:val="en-GB"/>
              </w:rPr>
            </w:pPr>
            <w:r w:rsidRPr="00BB0ECB">
              <w:rPr>
                <w:color w:val="000000" w:themeColor="text1"/>
                <w:lang w:val="en-GB"/>
              </w:rPr>
              <w:t>Serial number</w:t>
            </w:r>
          </w:p>
        </w:tc>
        <w:tc>
          <w:tcPr>
            <w:tcW w:w="2557" w:type="dxa"/>
            <w:tcBorders>
              <w:top w:val="double" w:sz="4" w:space="0" w:color="000000" w:themeColor="text1"/>
            </w:tcBorders>
          </w:tcPr>
          <w:p w14:paraId="4D913152" w14:textId="77777777" w:rsidR="005C11C5" w:rsidRDefault="005C11C5" w:rsidP="00671823">
            <w:pPr>
              <w:pStyle w:val="Textkrper"/>
              <w:spacing w:after="0"/>
              <w:ind w:left="0"/>
              <w:jc w:val="center"/>
              <w:rPr>
                <w:color w:val="000000" w:themeColor="text1"/>
                <w:lang w:val="en-GB"/>
              </w:rPr>
            </w:pPr>
            <w:r>
              <w:rPr>
                <w:color w:val="000000" w:themeColor="text1"/>
                <w:lang w:val="en-GB"/>
              </w:rPr>
              <w:t xml:space="preserve">monitor: </w:t>
            </w:r>
          </w:p>
          <w:p w14:paraId="109D5222" w14:textId="304120B9" w:rsidR="005C11C5" w:rsidRDefault="005C11C5" w:rsidP="00671823">
            <w:pPr>
              <w:pStyle w:val="Textkrper"/>
              <w:spacing w:after="0"/>
              <w:ind w:left="0"/>
              <w:jc w:val="center"/>
              <w:rPr>
                <w:color w:val="000000" w:themeColor="text1"/>
                <w:lang w:val="en-GB"/>
              </w:rPr>
            </w:pPr>
            <w:r w:rsidRPr="00BB0ECB">
              <w:rPr>
                <w:color w:val="000000" w:themeColor="text1"/>
                <w:lang w:val="en-GB"/>
              </w:rPr>
              <w:t>82042</w:t>
            </w:r>
            <w:r>
              <w:rPr>
                <w:color w:val="000000" w:themeColor="text1"/>
                <w:lang w:val="en-GB"/>
              </w:rPr>
              <w:t xml:space="preserve"> </w:t>
            </w:r>
            <w:r w:rsidRPr="00BB0ECB">
              <w:rPr>
                <w:color w:val="000000" w:themeColor="text1"/>
                <w:lang w:val="en-GB"/>
              </w:rPr>
              <w:t>6231</w:t>
            </w:r>
          </w:p>
          <w:p w14:paraId="6A36B7F8" w14:textId="77777777" w:rsidR="005C11C5" w:rsidRDefault="005C11C5" w:rsidP="00671823">
            <w:pPr>
              <w:pStyle w:val="Textkrper"/>
              <w:spacing w:after="0"/>
              <w:ind w:left="0"/>
              <w:jc w:val="center"/>
              <w:rPr>
                <w:color w:val="000000" w:themeColor="text1"/>
                <w:lang w:val="en-GB"/>
              </w:rPr>
            </w:pPr>
          </w:p>
          <w:p w14:paraId="416788BD" w14:textId="77777777" w:rsidR="005C11C5" w:rsidRDefault="005C11C5" w:rsidP="00671823">
            <w:pPr>
              <w:pStyle w:val="Textkrper"/>
              <w:spacing w:after="0"/>
              <w:ind w:left="0"/>
              <w:jc w:val="center"/>
              <w:rPr>
                <w:color w:val="000000" w:themeColor="text1"/>
                <w:lang w:val="en-GB"/>
              </w:rPr>
            </w:pPr>
            <w:r>
              <w:rPr>
                <w:color w:val="000000" w:themeColor="text1"/>
                <w:lang w:val="en-GB"/>
              </w:rPr>
              <w:t xml:space="preserve">display: </w:t>
            </w:r>
          </w:p>
          <w:p w14:paraId="5E6C301D" w14:textId="503CA3DF" w:rsidR="005C11C5" w:rsidRPr="00BB0ECB" w:rsidRDefault="005C11C5" w:rsidP="00671823">
            <w:pPr>
              <w:pStyle w:val="Textkrper"/>
              <w:spacing w:after="0"/>
              <w:ind w:left="0"/>
              <w:jc w:val="center"/>
              <w:rPr>
                <w:color w:val="000000" w:themeColor="text1"/>
                <w:lang w:val="en-GB"/>
              </w:rPr>
            </w:pPr>
            <w:r>
              <w:rPr>
                <w:color w:val="000000" w:themeColor="text1"/>
                <w:lang w:val="en-GB"/>
              </w:rPr>
              <w:t>81772 6745</w:t>
            </w:r>
          </w:p>
        </w:tc>
        <w:tc>
          <w:tcPr>
            <w:tcW w:w="2597" w:type="dxa"/>
            <w:tcBorders>
              <w:top w:val="double" w:sz="4" w:space="0" w:color="000000" w:themeColor="text1"/>
            </w:tcBorders>
          </w:tcPr>
          <w:p w14:paraId="6A09A254" w14:textId="613E3283" w:rsidR="005C11C5" w:rsidRDefault="005C11C5" w:rsidP="00C958A1">
            <w:pPr>
              <w:pStyle w:val="Textkrper"/>
              <w:ind w:left="0"/>
              <w:jc w:val="center"/>
              <w:rPr>
                <w:color w:val="000000" w:themeColor="text1"/>
                <w:lang w:val="en-GB"/>
              </w:rPr>
            </w:pPr>
            <w:r>
              <w:rPr>
                <w:color w:val="000000" w:themeColor="text1"/>
                <w:lang w:val="en-GB"/>
              </w:rPr>
              <w:t>base unit: 01A317FC</w:t>
            </w:r>
          </w:p>
          <w:p w14:paraId="0272674F" w14:textId="6DC02C03" w:rsidR="005C11C5" w:rsidRPr="00986A65" w:rsidRDefault="005C11C5" w:rsidP="00C958A1">
            <w:pPr>
              <w:pStyle w:val="Textkrper"/>
              <w:ind w:left="0"/>
              <w:jc w:val="center"/>
              <w:rPr>
                <w:color w:val="FF0000"/>
                <w:lang w:val="en-GB"/>
              </w:rPr>
            </w:pPr>
            <w:r>
              <w:rPr>
                <w:color w:val="000000" w:themeColor="text1"/>
                <w:lang w:val="en-GB"/>
              </w:rPr>
              <w:t xml:space="preserve">neutron module: </w:t>
            </w:r>
            <w:r w:rsidRPr="00BB0ECB">
              <w:rPr>
                <w:color w:val="000000" w:themeColor="text1"/>
                <w:lang w:val="en-GB"/>
              </w:rPr>
              <w:t>00315A</w:t>
            </w:r>
          </w:p>
        </w:tc>
      </w:tr>
      <w:tr w:rsidR="005C11C5" w14:paraId="41A091C9" w14:textId="79F1EECE" w:rsidTr="005C11C5">
        <w:trPr>
          <w:trHeight w:val="946"/>
        </w:trPr>
        <w:tc>
          <w:tcPr>
            <w:tcW w:w="2671" w:type="dxa"/>
          </w:tcPr>
          <w:p w14:paraId="7F7EC094" w14:textId="13273A6A" w:rsidR="005C11C5" w:rsidRPr="00BB0ECB" w:rsidRDefault="005C11C5" w:rsidP="00C958A1">
            <w:pPr>
              <w:pStyle w:val="Textkrper"/>
              <w:ind w:left="0"/>
              <w:jc w:val="center"/>
              <w:rPr>
                <w:color w:val="000000" w:themeColor="text1"/>
                <w:lang w:val="en-GB"/>
              </w:rPr>
            </w:pPr>
            <w:r w:rsidRPr="00BB0ECB">
              <w:rPr>
                <w:color w:val="000000" w:themeColor="text1"/>
                <w:lang w:val="en-GB"/>
              </w:rPr>
              <w:t>Quantity measured</w:t>
            </w:r>
            <w:r w:rsidR="00450604">
              <w:rPr>
                <w:color w:val="000000" w:themeColor="text1"/>
                <w:lang w:val="en-GB"/>
              </w:rPr>
              <w:t xml:space="preserve"> and comparison type (K or S)</w:t>
            </w:r>
          </w:p>
        </w:tc>
        <w:tc>
          <w:tcPr>
            <w:tcW w:w="2557" w:type="dxa"/>
          </w:tcPr>
          <w:p w14:paraId="35990B76" w14:textId="3484DCF9" w:rsidR="005C11C5" w:rsidRDefault="005C11C5" w:rsidP="00C958A1">
            <w:pPr>
              <w:pStyle w:val="Textkrper"/>
              <w:ind w:left="0"/>
              <w:jc w:val="center"/>
              <w:rPr>
                <w:color w:val="000000" w:themeColor="text1"/>
                <w:lang w:val="en-GB"/>
              </w:rPr>
            </w:pPr>
            <w:r>
              <w:rPr>
                <w:color w:val="000000" w:themeColor="text1"/>
                <w:lang w:val="en-GB"/>
              </w:rPr>
              <w:t>F</w:t>
            </w:r>
            <w:r w:rsidRPr="00BB0ECB">
              <w:rPr>
                <w:color w:val="000000" w:themeColor="text1"/>
                <w:lang w:val="en-GB"/>
              </w:rPr>
              <w:t>luence</w:t>
            </w:r>
            <w:r w:rsidR="00450604">
              <w:rPr>
                <w:color w:val="000000" w:themeColor="text1"/>
                <w:lang w:val="en-GB"/>
              </w:rPr>
              <w:t xml:space="preserve"> (K)</w:t>
            </w:r>
            <w:r w:rsidRPr="00BB0ECB">
              <w:rPr>
                <w:color w:val="000000" w:themeColor="text1"/>
                <w:lang w:val="en-GB"/>
              </w:rPr>
              <w:t xml:space="preserve"> </w:t>
            </w:r>
          </w:p>
          <w:p w14:paraId="3CAEE487" w14:textId="6551647D" w:rsidR="005C11C5" w:rsidRPr="00BB0ECB" w:rsidRDefault="00A62F92" w:rsidP="00C958A1">
            <w:pPr>
              <w:pStyle w:val="Textkrper"/>
              <w:ind w:left="0"/>
              <w:jc w:val="center"/>
              <w:rPr>
                <w:color w:val="000000" w:themeColor="text1"/>
                <w:lang w:val="en-GB"/>
              </w:rPr>
            </w:pPr>
            <w:r>
              <w:rPr>
                <w:color w:val="000000" w:themeColor="text1"/>
                <w:lang w:val="en-GB"/>
              </w:rPr>
              <w:t>Ḣ</w:t>
            </w:r>
            <w:r w:rsidR="005C11C5" w:rsidRPr="00BB0ECB">
              <w:rPr>
                <w:color w:val="000000" w:themeColor="text1"/>
                <w:lang w:val="en-GB"/>
              </w:rPr>
              <w:t>*(</w:t>
            </w:r>
            <w:r w:rsidR="005C11C5" w:rsidRPr="00BB0ECB">
              <w:rPr>
                <w:color w:val="000000" w:themeColor="text1"/>
              </w:rPr>
              <w:t>10)</w:t>
            </w:r>
            <w:r w:rsidR="00450604">
              <w:rPr>
                <w:color w:val="000000" w:themeColor="text1"/>
              </w:rPr>
              <w:t xml:space="preserve"> (S)</w:t>
            </w:r>
          </w:p>
        </w:tc>
        <w:tc>
          <w:tcPr>
            <w:tcW w:w="2597" w:type="dxa"/>
          </w:tcPr>
          <w:p w14:paraId="51633C04" w14:textId="4B14D4C6" w:rsidR="005C11C5" w:rsidRPr="00BB0ECB" w:rsidRDefault="005C11C5" w:rsidP="00C958A1">
            <w:pPr>
              <w:pStyle w:val="Textkrper"/>
              <w:ind w:left="0"/>
              <w:jc w:val="center"/>
              <w:rPr>
                <w:color w:val="000000" w:themeColor="text1"/>
                <w:lang w:val="en-GB"/>
              </w:rPr>
            </w:pPr>
            <w:proofErr w:type="gramStart"/>
            <w:r w:rsidRPr="00BB0ECB">
              <w:rPr>
                <w:color w:val="000000" w:themeColor="text1"/>
                <w:lang w:val="en-GB"/>
              </w:rPr>
              <w:t>H</w:t>
            </w:r>
            <w:r w:rsidRPr="00BB0ECB">
              <w:rPr>
                <w:color w:val="000000" w:themeColor="text1"/>
                <w:vertAlign w:val="subscript"/>
                <w:lang w:val="en-GB"/>
              </w:rPr>
              <w:t>p</w:t>
            </w:r>
            <w:r w:rsidRPr="00BB0ECB">
              <w:rPr>
                <w:color w:val="000000" w:themeColor="text1"/>
                <w:lang w:val="en-GB"/>
              </w:rPr>
              <w:t>(</w:t>
            </w:r>
            <w:proofErr w:type="gramEnd"/>
            <w:r w:rsidRPr="00BB0ECB">
              <w:rPr>
                <w:color w:val="000000" w:themeColor="text1"/>
                <w:lang w:val="en-GB"/>
              </w:rPr>
              <w:t>10)</w:t>
            </w:r>
            <w:r w:rsidR="00450604">
              <w:rPr>
                <w:color w:val="000000" w:themeColor="text1"/>
                <w:lang w:val="en-GB"/>
              </w:rPr>
              <w:t xml:space="preserve"> (S)</w:t>
            </w:r>
          </w:p>
        </w:tc>
      </w:tr>
      <w:tr w:rsidR="005C11C5" w:rsidRPr="00F22322" w14:paraId="41663FCA" w14:textId="67023480" w:rsidTr="005C11C5">
        <w:trPr>
          <w:trHeight w:val="1503"/>
        </w:trPr>
        <w:tc>
          <w:tcPr>
            <w:tcW w:w="2671" w:type="dxa"/>
          </w:tcPr>
          <w:p w14:paraId="4805ADE0" w14:textId="19C64EC4" w:rsidR="005C11C5" w:rsidRPr="00BB0ECB" w:rsidRDefault="005C11C5" w:rsidP="00C958A1">
            <w:pPr>
              <w:pStyle w:val="Textkrper"/>
              <w:ind w:left="0"/>
              <w:jc w:val="center"/>
              <w:rPr>
                <w:color w:val="000000" w:themeColor="text1"/>
                <w:lang w:val="en-GB"/>
              </w:rPr>
            </w:pPr>
            <w:r w:rsidRPr="00BB0ECB">
              <w:rPr>
                <w:color w:val="000000" w:themeColor="text1"/>
                <w:lang w:val="en-GB"/>
              </w:rPr>
              <w:t>Reference point</w:t>
            </w:r>
          </w:p>
        </w:tc>
        <w:tc>
          <w:tcPr>
            <w:tcW w:w="2557" w:type="dxa"/>
          </w:tcPr>
          <w:p w14:paraId="1CEC4CC2" w14:textId="1DD7413A" w:rsidR="005C11C5" w:rsidRPr="00BB0ECB" w:rsidRDefault="005C11C5" w:rsidP="00C958A1">
            <w:pPr>
              <w:pStyle w:val="Textkrper"/>
              <w:ind w:left="0"/>
              <w:jc w:val="center"/>
              <w:rPr>
                <w:color w:val="000000" w:themeColor="text1"/>
                <w:lang w:val="en-GB"/>
              </w:rPr>
            </w:pPr>
            <w:r w:rsidRPr="00BB0ECB">
              <w:rPr>
                <w:color w:val="000000" w:themeColor="text1"/>
                <w:lang w:val="en-GB"/>
              </w:rPr>
              <w:t>Center of the moderator</w:t>
            </w:r>
            <w:r>
              <w:rPr>
                <w:color w:val="000000" w:themeColor="text1"/>
                <w:lang w:val="en-GB"/>
              </w:rPr>
              <w:t>, diameter of the moderator 25 cm</w:t>
            </w:r>
          </w:p>
        </w:tc>
        <w:tc>
          <w:tcPr>
            <w:tcW w:w="2597" w:type="dxa"/>
          </w:tcPr>
          <w:p w14:paraId="5AA5048A" w14:textId="157A3421" w:rsidR="005C11C5" w:rsidRPr="00BB0ECB" w:rsidRDefault="005C11C5" w:rsidP="00C958A1">
            <w:pPr>
              <w:pStyle w:val="Textkrper"/>
              <w:ind w:left="0"/>
              <w:jc w:val="center"/>
              <w:rPr>
                <w:color w:val="000000" w:themeColor="text1"/>
                <w:lang w:val="en-GB"/>
              </w:rPr>
            </w:pPr>
            <w:r w:rsidRPr="00BB0ECB">
              <w:rPr>
                <w:color w:val="000000" w:themeColor="text1"/>
                <w:lang w:val="en-GB"/>
              </w:rPr>
              <w:t xml:space="preserve">Indicated on the </w:t>
            </w:r>
            <w:r>
              <w:rPr>
                <w:color w:val="000000" w:themeColor="text1"/>
                <w:lang w:val="en-GB"/>
              </w:rPr>
              <w:t xml:space="preserve">top and side of the </w:t>
            </w:r>
            <w:r w:rsidRPr="00BB0ECB">
              <w:rPr>
                <w:color w:val="000000" w:themeColor="text1"/>
                <w:lang w:val="en-GB"/>
              </w:rPr>
              <w:t xml:space="preserve">neutron module </w:t>
            </w:r>
            <w:r>
              <w:rPr>
                <w:color w:val="000000" w:themeColor="text1"/>
                <w:lang w:val="en-GB"/>
              </w:rPr>
              <w:t>(see picture in Appendix)</w:t>
            </w:r>
          </w:p>
        </w:tc>
      </w:tr>
      <w:tr w:rsidR="005C11C5" w:rsidRPr="00F22322" w14:paraId="31AD67F8" w14:textId="07AC0D82" w:rsidTr="005C11C5">
        <w:trPr>
          <w:trHeight w:val="1247"/>
        </w:trPr>
        <w:tc>
          <w:tcPr>
            <w:tcW w:w="2671" w:type="dxa"/>
          </w:tcPr>
          <w:p w14:paraId="0AAA08AB" w14:textId="42FBE611" w:rsidR="005C11C5" w:rsidRPr="00BB0ECB" w:rsidRDefault="005C11C5" w:rsidP="00C958A1">
            <w:pPr>
              <w:pStyle w:val="Textkrper"/>
              <w:ind w:left="0"/>
              <w:jc w:val="center"/>
              <w:rPr>
                <w:color w:val="000000" w:themeColor="text1"/>
                <w:lang w:val="en-US"/>
              </w:rPr>
            </w:pPr>
            <w:r w:rsidRPr="00BB0ECB">
              <w:rPr>
                <w:color w:val="000000" w:themeColor="text1"/>
                <w:lang w:val="en-US"/>
              </w:rPr>
              <w:t>Warm up</w:t>
            </w:r>
          </w:p>
        </w:tc>
        <w:tc>
          <w:tcPr>
            <w:tcW w:w="2557" w:type="dxa"/>
          </w:tcPr>
          <w:p w14:paraId="381B4B42" w14:textId="3A5E8EA9" w:rsidR="005C11C5" w:rsidRPr="00BB0ECB" w:rsidRDefault="005C11C5" w:rsidP="00C958A1">
            <w:pPr>
              <w:pStyle w:val="Textkrper"/>
              <w:ind w:left="0"/>
              <w:jc w:val="center"/>
              <w:rPr>
                <w:color w:val="000000" w:themeColor="text1"/>
                <w:lang w:val="en-GB"/>
              </w:rPr>
            </w:pPr>
            <w:r w:rsidRPr="00BB0ECB">
              <w:rPr>
                <w:color w:val="000000" w:themeColor="text1"/>
                <w:lang w:val="en-GB"/>
              </w:rPr>
              <w:t>Pre-irradiation to ca. 20 mSv, sources can be very close to instrument</w:t>
            </w:r>
          </w:p>
        </w:tc>
        <w:tc>
          <w:tcPr>
            <w:tcW w:w="2597" w:type="dxa"/>
          </w:tcPr>
          <w:p w14:paraId="6E8EF2DD" w14:textId="77777777" w:rsidR="005C11C5" w:rsidRPr="00986A65" w:rsidRDefault="005C11C5" w:rsidP="00C958A1">
            <w:pPr>
              <w:pStyle w:val="Textkrper"/>
              <w:ind w:left="0"/>
              <w:jc w:val="center"/>
              <w:rPr>
                <w:color w:val="FF0000"/>
                <w:lang w:val="en-GB"/>
              </w:rPr>
            </w:pPr>
          </w:p>
        </w:tc>
      </w:tr>
      <w:tr w:rsidR="005C11C5" w:rsidRPr="000D6C64" w14:paraId="5B1DCAC3" w14:textId="7D0802CA" w:rsidTr="005C11C5">
        <w:trPr>
          <w:trHeight w:val="1503"/>
        </w:trPr>
        <w:tc>
          <w:tcPr>
            <w:tcW w:w="2671" w:type="dxa"/>
          </w:tcPr>
          <w:p w14:paraId="647A59CD" w14:textId="7505F50F" w:rsidR="005C11C5" w:rsidRPr="00BB0ECB" w:rsidRDefault="005C11C5" w:rsidP="00C958A1">
            <w:pPr>
              <w:pStyle w:val="Textkrper"/>
              <w:ind w:left="0"/>
              <w:jc w:val="center"/>
              <w:rPr>
                <w:color w:val="000000" w:themeColor="text1"/>
                <w:lang w:val="en-GB"/>
              </w:rPr>
            </w:pPr>
            <w:r w:rsidRPr="00BB0ECB">
              <w:rPr>
                <w:color w:val="000000" w:themeColor="text1"/>
                <w:lang w:val="en-GB"/>
              </w:rPr>
              <w:t>Special notes</w:t>
            </w:r>
          </w:p>
        </w:tc>
        <w:tc>
          <w:tcPr>
            <w:tcW w:w="2557" w:type="dxa"/>
          </w:tcPr>
          <w:p w14:paraId="44D3FCF7" w14:textId="34F21CFE" w:rsidR="005C11C5" w:rsidRPr="00BB0ECB" w:rsidRDefault="005C11C5" w:rsidP="00C958A1">
            <w:pPr>
              <w:pStyle w:val="Textkrper"/>
              <w:ind w:left="0"/>
              <w:jc w:val="center"/>
              <w:rPr>
                <w:color w:val="000000" w:themeColor="text1"/>
                <w:lang w:val="en-GB"/>
              </w:rPr>
            </w:pPr>
          </w:p>
        </w:tc>
        <w:tc>
          <w:tcPr>
            <w:tcW w:w="2597" w:type="dxa"/>
          </w:tcPr>
          <w:p w14:paraId="4A386A6C" w14:textId="57CF12C6" w:rsidR="005C11C5" w:rsidRDefault="000D6C64" w:rsidP="00C958A1">
            <w:pPr>
              <w:pStyle w:val="Textkrper"/>
              <w:ind w:left="0"/>
              <w:jc w:val="center"/>
              <w:rPr>
                <w:lang w:val="en-GB"/>
              </w:rPr>
            </w:pPr>
            <w:r>
              <w:rPr>
                <w:lang w:val="en-GB"/>
              </w:rPr>
              <w:t>D</w:t>
            </w:r>
            <w:r w:rsidR="005C11C5" w:rsidRPr="00671823">
              <w:rPr>
                <w:lang w:val="en-GB"/>
              </w:rPr>
              <w:t>ose repeated minimum 3 times to reduce statistical fluctuation</w:t>
            </w:r>
          </w:p>
          <w:p w14:paraId="0AA3F9F2" w14:textId="77777777" w:rsidR="000D6C64" w:rsidRPr="00700A10" w:rsidRDefault="000D6C64" w:rsidP="000D6C64">
            <w:pPr>
              <w:pStyle w:val="Textkrper"/>
              <w:spacing w:after="0"/>
              <w:ind w:left="0"/>
              <w:jc w:val="center"/>
              <w:rPr>
                <w:lang w:val="de-DE"/>
              </w:rPr>
            </w:pPr>
            <w:r w:rsidRPr="00700A10">
              <w:rPr>
                <w:lang w:val="de-DE"/>
              </w:rPr>
              <w:t>Doses (minimum):</w:t>
            </w:r>
          </w:p>
          <w:p w14:paraId="36435D09" w14:textId="3E101936" w:rsidR="000D6C64" w:rsidRPr="00700A10" w:rsidRDefault="000D6C64" w:rsidP="000D6C64">
            <w:pPr>
              <w:pStyle w:val="Textkrper"/>
              <w:spacing w:after="0"/>
              <w:ind w:left="0"/>
              <w:jc w:val="center"/>
              <w:rPr>
                <w:lang w:val="de-DE"/>
              </w:rPr>
            </w:pPr>
            <w:r w:rsidRPr="00700A10">
              <w:rPr>
                <w:lang w:val="de-DE"/>
              </w:rPr>
              <w:t xml:space="preserve"> 2 mSv AmBe</w:t>
            </w:r>
          </w:p>
          <w:p w14:paraId="375FFEFD" w14:textId="52B60C7F" w:rsidR="000D6C64" w:rsidRPr="00700A10" w:rsidRDefault="000D6C64" w:rsidP="000D6C64">
            <w:pPr>
              <w:pStyle w:val="Textkrper"/>
              <w:spacing w:after="0"/>
              <w:ind w:left="0"/>
              <w:jc w:val="center"/>
              <w:rPr>
                <w:color w:val="FF0000"/>
                <w:lang w:val="de-DE"/>
              </w:rPr>
            </w:pPr>
            <w:r w:rsidRPr="00700A10">
              <w:rPr>
                <w:lang w:val="de-DE"/>
              </w:rPr>
              <w:lastRenderedPageBreak/>
              <w:t>4 mSv Cf</w:t>
            </w:r>
          </w:p>
        </w:tc>
      </w:tr>
    </w:tbl>
    <w:p w14:paraId="1C9517DF" w14:textId="77777777" w:rsidR="005F16D1" w:rsidRPr="00700A10" w:rsidRDefault="005F16D1" w:rsidP="00D52B12">
      <w:pPr>
        <w:pStyle w:val="Textkrper"/>
        <w:ind w:left="0"/>
        <w:rPr>
          <w:lang w:val="de-DE"/>
        </w:rPr>
      </w:pPr>
    </w:p>
    <w:p w14:paraId="5887D0CE" w14:textId="7D318426" w:rsidR="00A0024F" w:rsidRDefault="00A0024F" w:rsidP="00A0024F">
      <w:pPr>
        <w:pStyle w:val="berschrift1"/>
        <w:rPr>
          <w:lang w:val="en-GB"/>
        </w:rPr>
      </w:pPr>
      <w:bookmarkStart w:id="5" w:name="_Toc179201980"/>
      <w:r>
        <w:rPr>
          <w:lang w:val="en-GB"/>
        </w:rPr>
        <w:t>Sources</w:t>
      </w:r>
      <w:bookmarkEnd w:id="5"/>
    </w:p>
    <w:p w14:paraId="5C8163FD" w14:textId="3376EBB5" w:rsidR="00A0024F" w:rsidRPr="00A0024F" w:rsidRDefault="00A0024F" w:rsidP="00A0024F">
      <w:pPr>
        <w:pStyle w:val="Textkrper"/>
        <w:rPr>
          <w:lang w:val="en-GB"/>
        </w:rPr>
      </w:pPr>
      <w:r>
        <w:rPr>
          <w:lang w:val="en-GB"/>
        </w:rPr>
        <w:t xml:space="preserve">Both participants </w:t>
      </w:r>
      <w:r w:rsidRPr="00A0024F">
        <w:rPr>
          <w:lang w:val="en-GB"/>
        </w:rPr>
        <w:t xml:space="preserve">have </w:t>
      </w:r>
      <w:r w:rsidRPr="00A0024F">
        <w:rPr>
          <w:vertAlign w:val="superscript"/>
          <w:lang w:val="en-GB"/>
        </w:rPr>
        <w:t>252</w:t>
      </w:r>
      <w:r w:rsidRPr="00A0024F">
        <w:rPr>
          <w:lang w:val="en-GB"/>
        </w:rPr>
        <w:t>C</w:t>
      </w:r>
      <w:r w:rsidR="00A0326D">
        <w:rPr>
          <w:lang w:val="en-GB"/>
        </w:rPr>
        <w:t>f</w:t>
      </w:r>
      <w:r w:rsidRPr="00A0024F">
        <w:rPr>
          <w:lang w:val="en-GB"/>
        </w:rPr>
        <w:t xml:space="preserve"> and </w:t>
      </w:r>
      <w:r w:rsidRPr="00A0024F">
        <w:rPr>
          <w:vertAlign w:val="superscript"/>
          <w:lang w:val="en-GB"/>
        </w:rPr>
        <w:t>241</w:t>
      </w:r>
      <w:r w:rsidRPr="00A0024F">
        <w:rPr>
          <w:lang w:val="en-GB"/>
        </w:rPr>
        <w:t>AmBe sources in use</w:t>
      </w:r>
      <w:r>
        <w:rPr>
          <w:lang w:val="en-GB"/>
        </w:rPr>
        <w:t xml:space="preserve"> </w:t>
      </w:r>
      <w:r w:rsidR="00057DA6">
        <w:rPr>
          <w:lang w:val="en-GB"/>
        </w:rPr>
        <w:t xml:space="preserve">(Table 3.) </w:t>
      </w:r>
      <w:r>
        <w:rPr>
          <w:lang w:val="en-GB"/>
        </w:rPr>
        <w:t xml:space="preserve">and </w:t>
      </w:r>
      <w:r w:rsidR="00057DA6">
        <w:rPr>
          <w:lang w:val="en-GB"/>
        </w:rPr>
        <w:t xml:space="preserve">suitable sources </w:t>
      </w:r>
      <w:r>
        <w:rPr>
          <w:lang w:val="en-GB"/>
        </w:rPr>
        <w:t xml:space="preserve">will be </w:t>
      </w:r>
      <w:r w:rsidR="00057DA6">
        <w:rPr>
          <w:lang w:val="en-GB"/>
        </w:rPr>
        <w:t>selected</w:t>
      </w:r>
      <w:r>
        <w:rPr>
          <w:lang w:val="en-GB"/>
        </w:rPr>
        <w:t xml:space="preserve"> for </w:t>
      </w:r>
      <w:r w:rsidR="00057DA6">
        <w:rPr>
          <w:lang w:val="en-GB"/>
        </w:rPr>
        <w:t xml:space="preserve">the </w:t>
      </w:r>
      <w:r>
        <w:rPr>
          <w:lang w:val="en-GB"/>
        </w:rPr>
        <w:t>comparison</w:t>
      </w:r>
      <w:r w:rsidRPr="00A0024F">
        <w:rPr>
          <w:lang w:val="en-GB"/>
        </w:rPr>
        <w:t>.</w:t>
      </w:r>
    </w:p>
    <w:p w14:paraId="433A21CD" w14:textId="0F9913A5" w:rsidR="00A0024F" w:rsidRPr="00A0024F" w:rsidRDefault="00A0024F" w:rsidP="00A0024F">
      <w:pPr>
        <w:pStyle w:val="Textkrper"/>
        <w:rPr>
          <w:lang w:val="en-GB"/>
        </w:rPr>
      </w:pPr>
      <w:r w:rsidRPr="00A0024F">
        <w:rPr>
          <w:lang w:val="en-GB"/>
        </w:rPr>
        <w:t xml:space="preserve">Table 3. </w:t>
      </w:r>
      <w:r w:rsidR="00AB771F">
        <w:rPr>
          <w:lang w:val="en-GB"/>
        </w:rPr>
        <w:t>H*(10) d</w:t>
      </w:r>
      <w:r w:rsidRPr="00A0024F">
        <w:rPr>
          <w:lang w:val="en-GB"/>
        </w:rPr>
        <w:t xml:space="preserve">ose rates for </w:t>
      </w:r>
      <w:r w:rsidRPr="00A0024F">
        <w:rPr>
          <w:vertAlign w:val="superscript"/>
          <w:lang w:val="en-GB"/>
        </w:rPr>
        <w:t>252</w:t>
      </w:r>
      <w:r w:rsidRPr="00A0024F">
        <w:rPr>
          <w:lang w:val="en-GB"/>
        </w:rPr>
        <w:t>C</w:t>
      </w:r>
      <w:r w:rsidR="00A0326D">
        <w:rPr>
          <w:lang w:val="en-GB"/>
        </w:rPr>
        <w:t>f</w:t>
      </w:r>
      <w:r w:rsidRPr="00A0024F">
        <w:rPr>
          <w:lang w:val="en-GB"/>
        </w:rPr>
        <w:t xml:space="preserve"> and </w:t>
      </w:r>
      <w:r w:rsidRPr="00A0024F">
        <w:rPr>
          <w:vertAlign w:val="superscript"/>
          <w:lang w:val="en-GB"/>
        </w:rPr>
        <w:t>241</w:t>
      </w:r>
      <w:r w:rsidRPr="00A0024F">
        <w:rPr>
          <w:lang w:val="en-GB"/>
        </w:rPr>
        <w:t>AmBe sources</w:t>
      </w:r>
      <w:r w:rsidR="00A0326D">
        <w:rPr>
          <w:lang w:val="en-GB"/>
        </w:rPr>
        <w:t xml:space="preserve"> </w:t>
      </w:r>
      <w:r w:rsidR="00AB771F">
        <w:rPr>
          <w:lang w:val="en-GB"/>
        </w:rPr>
        <w:t>Nov 1</w:t>
      </w:r>
      <w:r w:rsidR="00AB771F" w:rsidRPr="00E35D1A">
        <w:rPr>
          <w:vertAlign w:val="superscript"/>
          <w:lang w:val="en-GB"/>
        </w:rPr>
        <w:t>st</w:t>
      </w:r>
      <w:r w:rsidR="00AB771F">
        <w:rPr>
          <w:lang w:val="en-GB"/>
        </w:rPr>
        <w:t>, 2024</w:t>
      </w:r>
      <w:r w:rsidR="0068170F">
        <w:rPr>
          <w:lang w:val="en-GB"/>
        </w:rPr>
        <w:t>,</w:t>
      </w:r>
      <w:r w:rsidR="00057DA6">
        <w:rPr>
          <w:lang w:val="en-GB"/>
        </w:rPr>
        <w:t xml:space="preserve"> at 100 cm distance</w:t>
      </w:r>
      <w:r w:rsidR="00AB771F">
        <w:rPr>
          <w:lang w:val="en-GB"/>
        </w:rPr>
        <w:t>.</w:t>
      </w:r>
    </w:p>
    <w:tbl>
      <w:tblPr>
        <w:tblStyle w:val="Tabellenraster"/>
        <w:tblW w:w="0" w:type="auto"/>
        <w:tblInd w:w="1304" w:type="dxa"/>
        <w:tblBorders>
          <w:left w:val="none" w:sz="0" w:space="0" w:color="auto"/>
          <w:right w:val="none" w:sz="0" w:space="0" w:color="auto"/>
        </w:tblBorders>
        <w:tblLook w:val="04A0" w:firstRow="1" w:lastRow="0" w:firstColumn="1" w:lastColumn="0" w:noHBand="0" w:noVBand="1"/>
      </w:tblPr>
      <w:tblGrid>
        <w:gridCol w:w="1856"/>
        <w:gridCol w:w="1463"/>
        <w:gridCol w:w="2147"/>
      </w:tblGrid>
      <w:tr w:rsidR="00057DA6" w14:paraId="7B51480F" w14:textId="77777777" w:rsidTr="00C176C8">
        <w:tc>
          <w:tcPr>
            <w:tcW w:w="1856" w:type="dxa"/>
            <w:vMerge w:val="restart"/>
          </w:tcPr>
          <w:p w14:paraId="7634B54C" w14:textId="77777777" w:rsidR="00057DA6" w:rsidRDefault="00057DA6" w:rsidP="005175D4">
            <w:pPr>
              <w:pStyle w:val="Textkrper"/>
              <w:ind w:left="0"/>
              <w:jc w:val="center"/>
              <w:rPr>
                <w:b/>
                <w:bCs/>
                <w:lang w:val="en-GB"/>
              </w:rPr>
            </w:pPr>
            <w:r>
              <w:rPr>
                <w:b/>
                <w:bCs/>
                <w:lang w:val="en-GB"/>
              </w:rPr>
              <w:t>Participant</w:t>
            </w:r>
          </w:p>
          <w:p w14:paraId="11739C22" w14:textId="70C69B21" w:rsidR="00057DA6" w:rsidRDefault="00057DA6" w:rsidP="005175D4">
            <w:pPr>
              <w:pStyle w:val="Textkrper"/>
              <w:ind w:left="0"/>
              <w:jc w:val="center"/>
              <w:rPr>
                <w:b/>
                <w:bCs/>
                <w:lang w:val="en-GB"/>
              </w:rPr>
            </w:pPr>
          </w:p>
        </w:tc>
        <w:tc>
          <w:tcPr>
            <w:tcW w:w="3610" w:type="dxa"/>
            <w:gridSpan w:val="2"/>
            <w:tcBorders>
              <w:bottom w:val="double" w:sz="4" w:space="0" w:color="000000" w:themeColor="text1"/>
            </w:tcBorders>
          </w:tcPr>
          <w:p w14:paraId="0726ECA6" w14:textId="3AFD46F5" w:rsidR="00057DA6" w:rsidRPr="00A0024F" w:rsidRDefault="00057DA6" w:rsidP="005175D4">
            <w:pPr>
              <w:pStyle w:val="Textkrper"/>
              <w:ind w:left="0"/>
              <w:jc w:val="center"/>
              <w:rPr>
                <w:b/>
                <w:bCs/>
                <w:vertAlign w:val="superscript"/>
                <w:lang w:val="en-GB"/>
              </w:rPr>
            </w:pPr>
            <w:r>
              <w:rPr>
                <w:b/>
                <w:bCs/>
                <w:lang w:val="en-GB"/>
              </w:rPr>
              <w:t>Dose rate</w:t>
            </w:r>
          </w:p>
        </w:tc>
      </w:tr>
      <w:tr w:rsidR="00057DA6" w14:paraId="222B56D0" w14:textId="77777777" w:rsidTr="00057DA6">
        <w:tc>
          <w:tcPr>
            <w:tcW w:w="1856" w:type="dxa"/>
            <w:vMerge/>
            <w:tcBorders>
              <w:bottom w:val="double" w:sz="4" w:space="0" w:color="000000" w:themeColor="text1"/>
            </w:tcBorders>
          </w:tcPr>
          <w:p w14:paraId="3BAA0EED" w14:textId="2B946007" w:rsidR="00057DA6" w:rsidRDefault="00057DA6" w:rsidP="005175D4">
            <w:pPr>
              <w:pStyle w:val="Textkrper"/>
              <w:ind w:left="0"/>
              <w:jc w:val="center"/>
              <w:rPr>
                <w:lang w:val="en-GB"/>
              </w:rPr>
            </w:pPr>
          </w:p>
        </w:tc>
        <w:tc>
          <w:tcPr>
            <w:tcW w:w="1463" w:type="dxa"/>
            <w:tcBorders>
              <w:bottom w:val="double" w:sz="4" w:space="0" w:color="000000" w:themeColor="text1"/>
            </w:tcBorders>
          </w:tcPr>
          <w:p w14:paraId="060B64F4" w14:textId="5F40B454" w:rsidR="00057DA6" w:rsidRPr="00A0024F" w:rsidRDefault="00057DA6" w:rsidP="005175D4">
            <w:pPr>
              <w:pStyle w:val="Textkrper"/>
              <w:ind w:left="0"/>
              <w:jc w:val="center"/>
              <w:rPr>
                <w:b/>
                <w:bCs/>
                <w:lang w:val="en-GB"/>
              </w:rPr>
            </w:pPr>
            <w:r w:rsidRPr="00A0024F">
              <w:rPr>
                <w:b/>
                <w:bCs/>
                <w:vertAlign w:val="superscript"/>
                <w:lang w:val="en-GB"/>
              </w:rPr>
              <w:t>252</w:t>
            </w:r>
            <w:r w:rsidRPr="00A0024F">
              <w:rPr>
                <w:b/>
                <w:bCs/>
                <w:lang w:val="en-GB"/>
              </w:rPr>
              <w:t>C</w:t>
            </w:r>
            <w:r>
              <w:rPr>
                <w:b/>
                <w:bCs/>
                <w:lang w:val="en-GB"/>
              </w:rPr>
              <w:t>f [µSv/h]</w:t>
            </w:r>
          </w:p>
        </w:tc>
        <w:tc>
          <w:tcPr>
            <w:tcW w:w="2147" w:type="dxa"/>
            <w:tcBorders>
              <w:bottom w:val="double" w:sz="4" w:space="0" w:color="000000" w:themeColor="text1"/>
            </w:tcBorders>
          </w:tcPr>
          <w:p w14:paraId="7E2CA9B9" w14:textId="39EBA7E7" w:rsidR="00057DA6" w:rsidRPr="00A0024F" w:rsidRDefault="00057DA6" w:rsidP="005175D4">
            <w:pPr>
              <w:pStyle w:val="Textkrper"/>
              <w:ind w:left="0"/>
              <w:jc w:val="center"/>
              <w:rPr>
                <w:b/>
                <w:bCs/>
                <w:lang w:val="en-GB"/>
              </w:rPr>
            </w:pPr>
            <w:r w:rsidRPr="00A0024F">
              <w:rPr>
                <w:b/>
                <w:bCs/>
                <w:vertAlign w:val="superscript"/>
                <w:lang w:val="en-GB"/>
              </w:rPr>
              <w:t>241</w:t>
            </w:r>
            <w:r w:rsidRPr="00A0024F">
              <w:rPr>
                <w:b/>
                <w:bCs/>
                <w:lang w:val="en-GB"/>
              </w:rPr>
              <w:t>AmBe</w:t>
            </w:r>
            <w:r>
              <w:rPr>
                <w:b/>
                <w:bCs/>
                <w:lang w:val="en-GB"/>
              </w:rPr>
              <w:t xml:space="preserve"> [µSv/h]</w:t>
            </w:r>
          </w:p>
        </w:tc>
      </w:tr>
      <w:tr w:rsidR="00057DA6" w14:paraId="719D3376" w14:textId="77777777" w:rsidTr="00057DA6">
        <w:tc>
          <w:tcPr>
            <w:tcW w:w="1856" w:type="dxa"/>
            <w:tcBorders>
              <w:top w:val="double" w:sz="4" w:space="0" w:color="000000" w:themeColor="text1"/>
            </w:tcBorders>
          </w:tcPr>
          <w:p w14:paraId="73AE23B4" w14:textId="0A6D0555" w:rsidR="00057DA6" w:rsidRPr="008369E8" w:rsidRDefault="00057DA6" w:rsidP="005175D4">
            <w:pPr>
              <w:pStyle w:val="Textkrper"/>
              <w:ind w:left="0"/>
              <w:jc w:val="center"/>
              <w:rPr>
                <w:lang w:val="en-GB"/>
              </w:rPr>
            </w:pPr>
            <w:r w:rsidRPr="008369E8">
              <w:rPr>
                <w:lang w:val="en-GB"/>
              </w:rPr>
              <w:t>NPL</w:t>
            </w:r>
          </w:p>
        </w:tc>
        <w:tc>
          <w:tcPr>
            <w:tcW w:w="1463" w:type="dxa"/>
            <w:tcBorders>
              <w:top w:val="double" w:sz="4" w:space="0" w:color="000000" w:themeColor="text1"/>
            </w:tcBorders>
          </w:tcPr>
          <w:p w14:paraId="7A9CAECB" w14:textId="177258A9" w:rsidR="00057DA6" w:rsidRPr="008369E8" w:rsidRDefault="00057DA6" w:rsidP="005175D4">
            <w:pPr>
              <w:pStyle w:val="Textkrper"/>
              <w:ind w:left="0"/>
              <w:jc w:val="center"/>
              <w:rPr>
                <w:lang w:val="en-GB"/>
              </w:rPr>
            </w:pPr>
            <w:r w:rsidRPr="008369E8">
              <w:rPr>
                <w:lang w:val="en-GB"/>
              </w:rPr>
              <w:t>145 &amp; 39 &amp; 5</w:t>
            </w:r>
          </w:p>
        </w:tc>
        <w:tc>
          <w:tcPr>
            <w:tcW w:w="2147" w:type="dxa"/>
            <w:tcBorders>
              <w:top w:val="double" w:sz="4" w:space="0" w:color="000000" w:themeColor="text1"/>
            </w:tcBorders>
          </w:tcPr>
          <w:p w14:paraId="67EA8C11" w14:textId="6D2D12CB" w:rsidR="00057DA6" w:rsidRPr="008369E8" w:rsidRDefault="00057DA6" w:rsidP="005175D4">
            <w:pPr>
              <w:pStyle w:val="Textkrper"/>
              <w:ind w:left="0"/>
              <w:jc w:val="center"/>
              <w:rPr>
                <w:lang w:val="en-GB"/>
              </w:rPr>
            </w:pPr>
            <w:r w:rsidRPr="008369E8">
              <w:rPr>
                <w:lang w:val="en-GB"/>
              </w:rPr>
              <w:t>355.9 &amp; 231.5 &amp; 27.0 &amp; 2.5</w:t>
            </w:r>
          </w:p>
        </w:tc>
      </w:tr>
      <w:tr w:rsidR="00057DA6" w14:paraId="0D294627" w14:textId="77777777" w:rsidTr="00057DA6">
        <w:tc>
          <w:tcPr>
            <w:tcW w:w="1856" w:type="dxa"/>
          </w:tcPr>
          <w:p w14:paraId="36CC2C08" w14:textId="2A25E32A" w:rsidR="00057DA6" w:rsidRPr="004A1329" w:rsidRDefault="00057DA6" w:rsidP="005175D4">
            <w:pPr>
              <w:pStyle w:val="Textkrper"/>
              <w:ind w:left="0"/>
              <w:jc w:val="center"/>
              <w:rPr>
                <w:lang w:val="en-GB"/>
              </w:rPr>
            </w:pPr>
            <w:r w:rsidRPr="004A1329">
              <w:rPr>
                <w:lang w:val="en-GB"/>
              </w:rPr>
              <w:t>STUK</w:t>
            </w:r>
          </w:p>
        </w:tc>
        <w:tc>
          <w:tcPr>
            <w:tcW w:w="1463" w:type="dxa"/>
          </w:tcPr>
          <w:p w14:paraId="51C1F39D" w14:textId="191ABAD9" w:rsidR="00057DA6" w:rsidRPr="00E35D1A" w:rsidRDefault="00E35D1A" w:rsidP="00A7547D">
            <w:pPr>
              <w:pStyle w:val="Textkrper"/>
              <w:ind w:left="0"/>
              <w:jc w:val="center"/>
              <w:rPr>
                <w:lang w:val="en-GB"/>
              </w:rPr>
            </w:pPr>
            <w:r w:rsidRPr="00E35D1A">
              <w:rPr>
                <w:lang w:val="en-GB"/>
              </w:rPr>
              <w:t xml:space="preserve">286 </w:t>
            </w:r>
          </w:p>
        </w:tc>
        <w:tc>
          <w:tcPr>
            <w:tcW w:w="2147" w:type="dxa"/>
          </w:tcPr>
          <w:p w14:paraId="18ABBD88" w14:textId="5CF2E8D5" w:rsidR="00057DA6" w:rsidRPr="00E35D1A" w:rsidRDefault="00E35D1A" w:rsidP="005175D4">
            <w:pPr>
              <w:pStyle w:val="Textkrper"/>
              <w:ind w:left="0"/>
              <w:jc w:val="center"/>
              <w:rPr>
                <w:lang w:val="en-GB"/>
              </w:rPr>
            </w:pPr>
            <w:r w:rsidRPr="00E35D1A">
              <w:rPr>
                <w:lang w:val="en-GB"/>
              </w:rPr>
              <w:t>280</w:t>
            </w:r>
          </w:p>
        </w:tc>
      </w:tr>
    </w:tbl>
    <w:p w14:paraId="68E81CBF" w14:textId="77777777" w:rsidR="00A0024F" w:rsidRDefault="00A0024F" w:rsidP="00A0024F">
      <w:pPr>
        <w:pStyle w:val="Textkrper"/>
        <w:rPr>
          <w:lang w:val="en-GB"/>
        </w:rPr>
      </w:pPr>
    </w:p>
    <w:p w14:paraId="3D74FD9B" w14:textId="15AD2407" w:rsidR="00836454" w:rsidRDefault="00E10A92" w:rsidP="00C24729">
      <w:pPr>
        <w:pStyle w:val="berschrift1"/>
        <w:rPr>
          <w:lang w:val="en-GB"/>
        </w:rPr>
      </w:pPr>
      <w:bookmarkStart w:id="6" w:name="_Toc179201981"/>
      <w:r>
        <w:rPr>
          <w:lang w:val="en-GB"/>
        </w:rPr>
        <w:t xml:space="preserve">Measurement </w:t>
      </w:r>
      <w:r w:rsidR="005628F3">
        <w:rPr>
          <w:lang w:val="en-GB"/>
        </w:rPr>
        <w:t>P</w:t>
      </w:r>
      <w:r w:rsidR="00C24729" w:rsidRPr="00C24729">
        <w:rPr>
          <w:lang w:val="en-GB"/>
        </w:rPr>
        <w:t>rocedure</w:t>
      </w:r>
      <w:bookmarkEnd w:id="6"/>
    </w:p>
    <w:p w14:paraId="1A45B1F9" w14:textId="1636C05D" w:rsidR="00315324" w:rsidRPr="004B1793" w:rsidRDefault="00EE13E4" w:rsidP="00315324">
      <w:pPr>
        <w:pStyle w:val="Textkrper"/>
        <w:rPr>
          <w:lang w:val="en-US"/>
        </w:rPr>
      </w:pPr>
      <w:r>
        <w:rPr>
          <w:lang w:val="en-GB"/>
        </w:rPr>
        <w:t>Both</w:t>
      </w:r>
      <w:r w:rsidR="00EA6AAD">
        <w:rPr>
          <w:lang w:val="en-GB"/>
        </w:rPr>
        <w:t xml:space="preserve"> participant</w:t>
      </w:r>
      <w:r>
        <w:rPr>
          <w:lang w:val="en-GB"/>
        </w:rPr>
        <w:t>s</w:t>
      </w:r>
      <w:r w:rsidR="00EA6AAD">
        <w:rPr>
          <w:lang w:val="en-GB"/>
        </w:rPr>
        <w:t xml:space="preserve"> </w:t>
      </w:r>
      <w:r w:rsidR="00EA6AAD" w:rsidRPr="00FC2C51">
        <w:rPr>
          <w:lang w:val="en-GB"/>
        </w:rPr>
        <w:t xml:space="preserve">will proceed </w:t>
      </w:r>
      <w:r w:rsidR="00EA6AAD">
        <w:rPr>
          <w:lang w:val="en-GB"/>
        </w:rPr>
        <w:t>following their own calibration procedure</w:t>
      </w:r>
      <w:r w:rsidR="007A7C16">
        <w:rPr>
          <w:lang w:val="en-GB"/>
        </w:rPr>
        <w:t>(s)</w:t>
      </w:r>
      <w:r w:rsidR="00EA6AAD">
        <w:rPr>
          <w:lang w:val="en-GB"/>
        </w:rPr>
        <w:t xml:space="preserve"> according to their </w:t>
      </w:r>
      <w:r w:rsidR="000A7326">
        <w:rPr>
          <w:lang w:val="en-GB"/>
        </w:rPr>
        <w:t xml:space="preserve">quality </w:t>
      </w:r>
      <w:r w:rsidR="00EA6AAD">
        <w:rPr>
          <w:lang w:val="en-GB"/>
        </w:rPr>
        <w:t xml:space="preserve">management system </w:t>
      </w:r>
      <w:r w:rsidR="00EA6AAD" w:rsidRPr="00FC2C51">
        <w:rPr>
          <w:lang w:val="en-GB"/>
        </w:rPr>
        <w:t>to determine the calibration coefficients of the</w:t>
      </w:r>
      <w:r w:rsidR="00EA6AAD">
        <w:rPr>
          <w:lang w:val="en-GB"/>
        </w:rPr>
        <w:t xml:space="preserve"> transfer</w:t>
      </w:r>
      <w:r w:rsidR="00EA6AAD" w:rsidRPr="00FC2C51">
        <w:rPr>
          <w:lang w:val="en-GB"/>
        </w:rPr>
        <w:t xml:space="preserve"> </w:t>
      </w:r>
      <w:r w:rsidR="00CA20EA">
        <w:rPr>
          <w:lang w:val="en-GB"/>
        </w:rPr>
        <w:t>instrument</w:t>
      </w:r>
      <w:r w:rsidR="00EA6AAD">
        <w:rPr>
          <w:lang w:val="en-GB"/>
        </w:rPr>
        <w:t xml:space="preserve"> in </w:t>
      </w:r>
      <w:r w:rsidR="00EA6AAD" w:rsidRPr="00A0326D">
        <w:rPr>
          <w:lang w:val="en-GB"/>
        </w:rPr>
        <w:t xml:space="preserve">terms of </w:t>
      </w:r>
      <w:r w:rsidR="00CA20EA" w:rsidRPr="00A0326D">
        <w:rPr>
          <w:lang w:val="en-GB"/>
        </w:rPr>
        <w:t>fluence</w:t>
      </w:r>
      <w:r w:rsidRPr="00A0326D">
        <w:rPr>
          <w:lang w:val="en-GB"/>
        </w:rPr>
        <w:t xml:space="preserve"> and dose equivalent</w:t>
      </w:r>
      <w:r w:rsidR="0090441B">
        <w:rPr>
          <w:lang w:val="en-GB"/>
        </w:rPr>
        <w:t xml:space="preserve"> (</w:t>
      </w:r>
      <w:r w:rsidR="0090441B" w:rsidRPr="004A1329">
        <w:rPr>
          <w:i/>
          <w:iCs/>
          <w:lang w:val="en-GB"/>
        </w:rPr>
        <w:t>H</w:t>
      </w:r>
      <w:r w:rsidR="0090441B">
        <w:rPr>
          <w:lang w:val="en-GB"/>
        </w:rPr>
        <w:t xml:space="preserve">*(10) and </w:t>
      </w:r>
      <w:proofErr w:type="gramStart"/>
      <w:r w:rsidR="0090441B" w:rsidRPr="004A1329">
        <w:rPr>
          <w:i/>
          <w:iCs/>
          <w:lang w:val="en-GB"/>
        </w:rPr>
        <w:t>H</w:t>
      </w:r>
      <w:r w:rsidR="0090441B" w:rsidRPr="00D15F17">
        <w:rPr>
          <w:vertAlign w:val="subscript"/>
          <w:lang w:val="en-GB"/>
        </w:rPr>
        <w:t>p</w:t>
      </w:r>
      <w:r w:rsidR="0090441B">
        <w:rPr>
          <w:lang w:val="en-GB"/>
        </w:rPr>
        <w:t>(</w:t>
      </w:r>
      <w:proofErr w:type="gramEnd"/>
      <w:r w:rsidR="0090441B">
        <w:rPr>
          <w:lang w:val="en-GB"/>
        </w:rPr>
        <w:t>10)</w:t>
      </w:r>
      <w:r w:rsidR="00111E88">
        <w:rPr>
          <w:lang w:val="en-GB"/>
        </w:rPr>
        <w:t>, depending on the instrument type</w:t>
      </w:r>
      <w:r w:rsidR="0090441B">
        <w:rPr>
          <w:lang w:val="en-GB"/>
        </w:rPr>
        <w:t>)</w:t>
      </w:r>
      <w:r w:rsidR="00EA6AAD" w:rsidRPr="00A0326D">
        <w:rPr>
          <w:lang w:val="en-GB"/>
        </w:rPr>
        <w:t xml:space="preserve">. </w:t>
      </w:r>
      <w:r w:rsidR="00111E88">
        <w:rPr>
          <w:lang w:val="en-GB"/>
        </w:rPr>
        <w:t>B</w:t>
      </w:r>
      <w:r>
        <w:rPr>
          <w:lang w:val="en-GB"/>
        </w:rPr>
        <w:t>oth</w:t>
      </w:r>
      <w:r w:rsidR="00B21097">
        <w:rPr>
          <w:lang w:val="en-GB"/>
        </w:rPr>
        <w:t xml:space="preserve"> laborator</w:t>
      </w:r>
      <w:r>
        <w:rPr>
          <w:lang w:val="en-GB"/>
        </w:rPr>
        <w:t>ies</w:t>
      </w:r>
      <w:r w:rsidR="00B21097">
        <w:rPr>
          <w:lang w:val="en-GB"/>
        </w:rPr>
        <w:t xml:space="preserve"> may add needed correction factors for calibrations and these correction factors shall be reported when reporting results.</w:t>
      </w:r>
      <w:r w:rsidR="005625AD" w:rsidRPr="005625AD">
        <w:rPr>
          <w:lang w:val="en-GB"/>
        </w:rPr>
        <w:t xml:space="preserve"> </w:t>
      </w:r>
      <w:r>
        <w:rPr>
          <w:lang w:val="en-GB"/>
        </w:rPr>
        <w:t>Both</w:t>
      </w:r>
      <w:r w:rsidR="005625AD">
        <w:rPr>
          <w:lang w:val="en-GB"/>
        </w:rPr>
        <w:t xml:space="preserve"> participant</w:t>
      </w:r>
      <w:r>
        <w:rPr>
          <w:lang w:val="en-GB"/>
        </w:rPr>
        <w:t>s</w:t>
      </w:r>
      <w:r w:rsidR="005625AD">
        <w:rPr>
          <w:lang w:val="en-GB"/>
        </w:rPr>
        <w:t xml:space="preserve"> shall report the orientation of the source relative to</w:t>
      </w:r>
      <w:r w:rsidR="00CA20EA">
        <w:rPr>
          <w:lang w:val="en-GB"/>
        </w:rPr>
        <w:t xml:space="preserve"> calibrated instruments.</w:t>
      </w:r>
      <w:r w:rsidR="005625AD">
        <w:rPr>
          <w:lang w:val="en-GB"/>
        </w:rPr>
        <w:t xml:space="preserve"> </w:t>
      </w:r>
    </w:p>
    <w:p w14:paraId="14ED7352" w14:textId="77777777" w:rsidR="0078212D" w:rsidRDefault="0078212D" w:rsidP="009C4EE5">
      <w:pPr>
        <w:pStyle w:val="berschrift2"/>
        <w:rPr>
          <w:lang w:val="en-GB"/>
        </w:rPr>
      </w:pPr>
      <w:bookmarkStart w:id="7" w:name="_Toc179201982"/>
      <w:r>
        <w:rPr>
          <w:lang w:val="en-GB"/>
        </w:rPr>
        <w:t>Radiation qualities and quantities</w:t>
      </w:r>
      <w:bookmarkEnd w:id="7"/>
    </w:p>
    <w:p w14:paraId="554D4184" w14:textId="12FC55F0" w:rsidR="0078212D" w:rsidRPr="00FC0A04" w:rsidRDefault="0078212D" w:rsidP="0078212D">
      <w:pPr>
        <w:pStyle w:val="Textkrper"/>
        <w:rPr>
          <w:lang w:val="en-GB"/>
        </w:rPr>
      </w:pPr>
      <w:r w:rsidRPr="00D52B12">
        <w:rPr>
          <w:lang w:val="en-GB"/>
        </w:rPr>
        <w:t>The radiation qua</w:t>
      </w:r>
      <w:r>
        <w:rPr>
          <w:lang w:val="en-GB"/>
        </w:rPr>
        <w:t>lity</w:t>
      </w:r>
      <w:r w:rsidRPr="00D52B12">
        <w:rPr>
          <w:lang w:val="en-GB"/>
        </w:rPr>
        <w:t xml:space="preserve"> used</w:t>
      </w:r>
      <w:r>
        <w:rPr>
          <w:lang w:val="en-GB"/>
        </w:rPr>
        <w:t xml:space="preserve"> in the comparison</w:t>
      </w:r>
      <w:r w:rsidRPr="00D52B12">
        <w:rPr>
          <w:lang w:val="en-GB"/>
        </w:rPr>
        <w:t xml:space="preserve"> </w:t>
      </w:r>
      <w:r w:rsidR="00EE13E4" w:rsidRPr="00FC0A04">
        <w:rPr>
          <w:lang w:val="en-GB"/>
        </w:rPr>
        <w:t xml:space="preserve">are </w:t>
      </w:r>
      <w:r w:rsidR="00AF3D33" w:rsidRPr="00FC0A04">
        <w:rPr>
          <w:vertAlign w:val="superscript"/>
          <w:lang w:val="en-GB"/>
        </w:rPr>
        <w:t>252</w:t>
      </w:r>
      <w:r w:rsidRPr="00FC0A04">
        <w:rPr>
          <w:lang w:val="en-GB"/>
        </w:rPr>
        <w:t>C</w:t>
      </w:r>
      <w:r w:rsidR="00AF269E" w:rsidRPr="00FC0A04">
        <w:rPr>
          <w:lang w:val="en-GB"/>
        </w:rPr>
        <w:t>f</w:t>
      </w:r>
      <w:r w:rsidR="00AF3D33" w:rsidRPr="00FC0A04">
        <w:rPr>
          <w:lang w:val="en-GB"/>
        </w:rPr>
        <w:t xml:space="preserve"> and </w:t>
      </w:r>
      <w:r w:rsidR="00EE13E4" w:rsidRPr="00FC0A04">
        <w:rPr>
          <w:vertAlign w:val="superscript"/>
          <w:lang w:val="en-GB"/>
        </w:rPr>
        <w:t>241</w:t>
      </w:r>
      <w:r w:rsidR="00AF3D33" w:rsidRPr="00FC0A04">
        <w:rPr>
          <w:lang w:val="en-GB"/>
        </w:rPr>
        <w:t>AmBe</w:t>
      </w:r>
      <w:r w:rsidR="00D70100" w:rsidRPr="00FC0A04">
        <w:rPr>
          <w:lang w:val="en-GB"/>
        </w:rPr>
        <w:t xml:space="preserve"> as described in ISO 8529</w:t>
      </w:r>
      <w:r w:rsidR="009935A8">
        <w:rPr>
          <w:lang w:val="en-GB"/>
        </w:rPr>
        <w:t>-1:2021</w:t>
      </w:r>
      <w:r w:rsidRPr="00FC0A04">
        <w:rPr>
          <w:lang w:val="en-GB"/>
        </w:rPr>
        <w:t xml:space="preserve">. The quantities used for the comparison </w:t>
      </w:r>
      <w:r w:rsidR="00AF3D33" w:rsidRPr="00FC0A04">
        <w:rPr>
          <w:lang w:val="en-GB"/>
        </w:rPr>
        <w:t>is</w:t>
      </w:r>
      <w:r w:rsidR="00EE13E4" w:rsidRPr="00FC0A04">
        <w:rPr>
          <w:lang w:val="en-GB"/>
        </w:rPr>
        <w:t xml:space="preserve"> fluence</w:t>
      </w:r>
      <w:r w:rsidR="00D15F17">
        <w:rPr>
          <w:lang w:val="en-GB"/>
        </w:rPr>
        <w:t xml:space="preserve"> rate, </w:t>
      </w:r>
      <w:r w:rsidR="00AF269E" w:rsidRPr="00FC0A04">
        <w:rPr>
          <w:lang w:val="en-GB"/>
        </w:rPr>
        <w:t>ambient</w:t>
      </w:r>
      <w:r w:rsidR="00D15F17">
        <w:rPr>
          <w:lang w:val="en-GB"/>
        </w:rPr>
        <w:t xml:space="preserve"> dose equivalent rate (</w:t>
      </w:r>
      <w:r w:rsidR="00D15F17" w:rsidRPr="004A1329">
        <w:rPr>
          <w:i/>
          <w:iCs/>
          <w:lang w:val="en-GB"/>
        </w:rPr>
        <w:t>H</w:t>
      </w:r>
      <w:r w:rsidR="00D15F17">
        <w:rPr>
          <w:lang w:val="en-GB"/>
        </w:rPr>
        <w:t>*(10))</w:t>
      </w:r>
      <w:r w:rsidR="00AF269E" w:rsidRPr="00FC0A04">
        <w:rPr>
          <w:lang w:val="en-GB"/>
        </w:rPr>
        <w:t xml:space="preserve"> and personal </w:t>
      </w:r>
      <w:r w:rsidR="00EE13E4" w:rsidRPr="00FC0A04">
        <w:rPr>
          <w:lang w:val="en-GB"/>
        </w:rPr>
        <w:t>dose equivalent</w:t>
      </w:r>
      <w:r w:rsidR="00D15F17">
        <w:rPr>
          <w:lang w:val="en-GB"/>
        </w:rPr>
        <w:t xml:space="preserve"> (</w:t>
      </w:r>
      <w:proofErr w:type="gramStart"/>
      <w:r w:rsidR="00D15F17" w:rsidRPr="004A1329">
        <w:rPr>
          <w:i/>
          <w:iCs/>
          <w:lang w:val="en-GB"/>
        </w:rPr>
        <w:t>H</w:t>
      </w:r>
      <w:r w:rsidR="00D15F17" w:rsidRPr="00D15F17">
        <w:rPr>
          <w:vertAlign w:val="subscript"/>
          <w:lang w:val="en-GB"/>
        </w:rPr>
        <w:t>p</w:t>
      </w:r>
      <w:r w:rsidR="00D15F17">
        <w:rPr>
          <w:lang w:val="en-GB"/>
        </w:rPr>
        <w:t>(</w:t>
      </w:r>
      <w:proofErr w:type="gramEnd"/>
      <w:r w:rsidR="00D15F17">
        <w:rPr>
          <w:lang w:val="en-GB"/>
        </w:rPr>
        <w:t>10))</w:t>
      </w:r>
      <w:r w:rsidRPr="00FC0A04">
        <w:rPr>
          <w:lang w:val="en-GB"/>
        </w:rPr>
        <w:t>.</w:t>
      </w:r>
      <w:r w:rsidR="00315324" w:rsidRPr="00FC0A04">
        <w:rPr>
          <w:lang w:val="en-GB"/>
        </w:rPr>
        <w:t xml:space="preserve"> </w:t>
      </w:r>
      <w:r w:rsidR="009935A8">
        <w:rPr>
          <w:lang w:val="en-GB"/>
        </w:rPr>
        <w:t xml:space="preserve">Conversion coefficients will </w:t>
      </w:r>
      <w:r w:rsidR="00383D85">
        <w:rPr>
          <w:lang w:val="en-GB"/>
        </w:rPr>
        <w:t xml:space="preserve">be </w:t>
      </w:r>
      <w:r w:rsidR="009935A8">
        <w:rPr>
          <w:lang w:val="en-GB"/>
        </w:rPr>
        <w:t>from ISO 8529-3:2023</w:t>
      </w:r>
    </w:p>
    <w:p w14:paraId="311B0C46" w14:textId="17B17178" w:rsidR="00836454" w:rsidRDefault="00836454" w:rsidP="00836454">
      <w:pPr>
        <w:pStyle w:val="berschrift2"/>
        <w:rPr>
          <w:lang w:val="en-GB"/>
        </w:rPr>
      </w:pPr>
      <w:bookmarkStart w:id="8" w:name="_Toc179201983"/>
      <w:bookmarkStart w:id="9" w:name="_Hlk194069553"/>
      <w:r>
        <w:rPr>
          <w:lang w:val="en-GB"/>
        </w:rPr>
        <w:t>Reference conditions</w:t>
      </w:r>
      <w:bookmarkEnd w:id="8"/>
    </w:p>
    <w:p w14:paraId="269C82DA" w14:textId="458ED8EE" w:rsidR="00EA6AAD" w:rsidRPr="0008549A" w:rsidRDefault="00FC0A04" w:rsidP="00EA6AAD">
      <w:pPr>
        <w:pStyle w:val="Textkrper"/>
        <w:rPr>
          <w:lang w:val="en-US"/>
        </w:rPr>
      </w:pPr>
      <w:r w:rsidRPr="0008549A">
        <w:rPr>
          <w:lang w:val="en-US"/>
        </w:rPr>
        <w:t>The DMC 300</w:t>
      </w:r>
      <w:r w:rsidR="00CC4326">
        <w:rPr>
          <w:lang w:val="en-US"/>
        </w:rPr>
        <w:t>0</w:t>
      </w:r>
      <w:r w:rsidRPr="0008549A">
        <w:rPr>
          <w:lang w:val="en-US"/>
        </w:rPr>
        <w:t xml:space="preserve"> shall be calibrated on </w:t>
      </w:r>
      <w:r w:rsidR="0008549A" w:rsidRPr="0008549A">
        <w:rPr>
          <w:lang w:val="en-US"/>
        </w:rPr>
        <w:t xml:space="preserve">appropriate </w:t>
      </w:r>
      <w:r w:rsidRPr="0008549A">
        <w:rPr>
          <w:lang w:val="en-US"/>
        </w:rPr>
        <w:t>phantom</w:t>
      </w:r>
      <w:r w:rsidR="0008549A" w:rsidRPr="0008549A">
        <w:rPr>
          <w:lang w:val="en-US"/>
        </w:rPr>
        <w:t xml:space="preserve"> as required according to ISO 8529</w:t>
      </w:r>
      <w:r w:rsidR="002B70A9">
        <w:rPr>
          <w:lang w:val="en-US"/>
        </w:rPr>
        <w:t>-3:2023</w:t>
      </w:r>
      <w:r w:rsidR="007E605E">
        <w:rPr>
          <w:lang w:val="en-US"/>
        </w:rPr>
        <w:t xml:space="preserve">. </w:t>
      </w:r>
      <w:r w:rsidR="00AE3355">
        <w:rPr>
          <w:lang w:val="en-US"/>
        </w:rPr>
        <w:t>Water filled ISO slab</w:t>
      </w:r>
      <w:r w:rsidR="007E605E">
        <w:rPr>
          <w:lang w:val="en-US"/>
        </w:rPr>
        <w:t xml:space="preserve"> phantom with outer dimensions of 30 cm * 30 cm * 15 cm</w:t>
      </w:r>
      <w:r w:rsidR="0053268F">
        <w:rPr>
          <w:lang w:val="en-US"/>
        </w:rPr>
        <w:t xml:space="preserve"> shall be used for this purpose. </w:t>
      </w:r>
      <w:r w:rsidRPr="0008549A">
        <w:rPr>
          <w:lang w:val="en-US"/>
        </w:rPr>
        <w:t xml:space="preserve">Environmental conditions during calibration shall be as required in ISO 8529 and shall be reported. </w:t>
      </w:r>
      <w:r w:rsidR="00111E88">
        <w:rPr>
          <w:lang w:val="en-US"/>
        </w:rPr>
        <w:t xml:space="preserve">The </w:t>
      </w:r>
      <w:r w:rsidR="0048544A">
        <w:rPr>
          <w:lang w:val="en-US"/>
        </w:rPr>
        <w:t xml:space="preserve">reference </w:t>
      </w:r>
      <w:r w:rsidR="00111E88">
        <w:rPr>
          <w:lang w:val="en-US"/>
        </w:rPr>
        <w:t xml:space="preserve">distance from to source </w:t>
      </w:r>
      <w:r w:rsidR="00111E88">
        <w:rPr>
          <w:lang w:val="en-US"/>
        </w:rPr>
        <w:lastRenderedPageBreak/>
        <w:t>to detector reference point shall be</w:t>
      </w:r>
      <w:r w:rsidR="0048544A">
        <w:rPr>
          <w:lang w:val="en-US"/>
        </w:rPr>
        <w:t xml:space="preserve"> 100 cm. In addition, results with other distances</w:t>
      </w:r>
      <w:r w:rsidR="00111E88">
        <w:rPr>
          <w:lang w:val="en-US"/>
        </w:rPr>
        <w:t xml:space="preserve"> according to laboratory’s procedures</w:t>
      </w:r>
      <w:r w:rsidR="0048544A">
        <w:rPr>
          <w:lang w:val="en-US"/>
        </w:rPr>
        <w:t xml:space="preserve"> can be used</w:t>
      </w:r>
      <w:r w:rsidR="00111E88">
        <w:rPr>
          <w:lang w:val="en-US"/>
        </w:rPr>
        <w:t xml:space="preserve"> and reported.</w:t>
      </w:r>
      <w:r w:rsidR="0058325C" w:rsidRPr="0008549A">
        <w:rPr>
          <w:lang w:val="en-US"/>
        </w:rPr>
        <w:t xml:space="preserve"> </w:t>
      </w:r>
    </w:p>
    <w:p w14:paraId="3C597B45" w14:textId="77777777" w:rsidR="007B05D2" w:rsidRDefault="007B05D2" w:rsidP="007B05D2">
      <w:pPr>
        <w:pStyle w:val="berschrift2"/>
        <w:rPr>
          <w:lang w:val="en-GB"/>
        </w:rPr>
      </w:pPr>
      <w:bookmarkStart w:id="10" w:name="_Toc179201984"/>
      <w:bookmarkEnd w:id="9"/>
      <w:r>
        <w:rPr>
          <w:lang w:val="en-GB"/>
        </w:rPr>
        <w:t>Reference value</w:t>
      </w:r>
      <w:bookmarkEnd w:id="10"/>
    </w:p>
    <w:p w14:paraId="0CBE0D0C" w14:textId="0DBE61D4" w:rsidR="007B05D2" w:rsidRDefault="00AF3D33" w:rsidP="00836454">
      <w:pPr>
        <w:pStyle w:val="Textkrper"/>
        <w:rPr>
          <w:lang w:val="en-GB"/>
        </w:rPr>
      </w:pPr>
      <w:r>
        <w:rPr>
          <w:lang w:val="en-GB"/>
        </w:rPr>
        <w:t>NPL</w:t>
      </w:r>
      <w:r w:rsidR="00126076">
        <w:rPr>
          <w:lang w:val="en-GB"/>
        </w:rPr>
        <w:t xml:space="preserve"> as linking </w:t>
      </w:r>
      <w:r w:rsidR="00126076" w:rsidRPr="00FC0A04">
        <w:rPr>
          <w:lang w:val="en-GB"/>
        </w:rPr>
        <w:t xml:space="preserve">laboratory to </w:t>
      </w:r>
      <w:r w:rsidR="00EE25DB">
        <w:rPr>
          <w:lang w:val="en-GB"/>
        </w:rPr>
        <w:t xml:space="preserve">CCRI(III)-K9, </w:t>
      </w:r>
      <w:r w:rsidR="00EE13E4" w:rsidRPr="00FC0A04">
        <w:rPr>
          <w:lang w:val="en-GB"/>
        </w:rPr>
        <w:t>CCRI(III)-</w:t>
      </w:r>
      <w:r w:rsidR="00A946AF">
        <w:rPr>
          <w:lang w:val="en-GB"/>
        </w:rPr>
        <w:t xml:space="preserve">S1 and CCRI(III)-S2 </w:t>
      </w:r>
      <w:r w:rsidR="00126076" w:rsidRPr="00FC0A04">
        <w:rPr>
          <w:lang w:val="en-GB"/>
        </w:rPr>
        <w:t xml:space="preserve">comparisons </w:t>
      </w:r>
      <w:r w:rsidR="00EE25DB">
        <w:rPr>
          <w:lang w:val="en-GB"/>
        </w:rPr>
        <w:t xml:space="preserve">and having respective CMCs </w:t>
      </w:r>
      <w:r w:rsidR="007B05D2">
        <w:rPr>
          <w:lang w:val="en-GB"/>
        </w:rPr>
        <w:t xml:space="preserve">will provide reference value for this comparison. </w:t>
      </w:r>
      <w:r>
        <w:rPr>
          <w:lang w:val="en-GB"/>
        </w:rPr>
        <w:t>STUK</w:t>
      </w:r>
      <w:r w:rsidR="007B05D2">
        <w:rPr>
          <w:lang w:val="en-GB"/>
        </w:rPr>
        <w:t xml:space="preserve"> results will be compared to this value</w:t>
      </w:r>
      <w:r w:rsidR="0096652F">
        <w:rPr>
          <w:lang w:val="en-GB"/>
        </w:rPr>
        <w:t xml:space="preserve">. </w:t>
      </w:r>
    </w:p>
    <w:p w14:paraId="21207F5B" w14:textId="25F14F3D" w:rsidR="001B2526" w:rsidRPr="00FC0A04" w:rsidRDefault="005D53E5" w:rsidP="00836454">
      <w:pPr>
        <w:pStyle w:val="Textkrper"/>
        <w:rPr>
          <w:lang w:val="en-GB"/>
        </w:rPr>
      </w:pPr>
      <w:r>
        <w:rPr>
          <w:lang w:val="en-GB"/>
        </w:rPr>
        <w:t xml:space="preserve">The </w:t>
      </w:r>
      <w:r w:rsidR="00AF3D33">
        <w:rPr>
          <w:lang w:val="en-GB"/>
        </w:rPr>
        <w:t>r</w:t>
      </w:r>
      <w:r w:rsidR="0007535B">
        <w:rPr>
          <w:lang w:val="en-GB"/>
        </w:rPr>
        <w:t>eference value</w:t>
      </w:r>
      <w:r w:rsidR="00BE1E07">
        <w:rPr>
          <w:lang w:val="en-GB"/>
        </w:rPr>
        <w:t>s</w:t>
      </w:r>
      <w:r w:rsidR="0007535B">
        <w:rPr>
          <w:lang w:val="en-GB"/>
        </w:rPr>
        <w:t xml:space="preserve"> will be calculated separately for each </w:t>
      </w:r>
      <w:r w:rsidR="00EE13E4">
        <w:rPr>
          <w:lang w:val="en-GB"/>
        </w:rPr>
        <w:t>instrument</w:t>
      </w:r>
      <w:r w:rsidR="0007535B">
        <w:rPr>
          <w:lang w:val="en-GB"/>
        </w:rPr>
        <w:t xml:space="preserve"> and the values reported by</w:t>
      </w:r>
      <w:r>
        <w:rPr>
          <w:lang w:val="en-GB"/>
        </w:rPr>
        <w:t xml:space="preserve"> </w:t>
      </w:r>
      <w:r w:rsidR="00AF3D33">
        <w:rPr>
          <w:lang w:val="en-GB"/>
        </w:rPr>
        <w:t xml:space="preserve">STUK </w:t>
      </w:r>
      <w:r w:rsidR="00BF43F0">
        <w:rPr>
          <w:lang w:val="en-GB"/>
        </w:rPr>
        <w:t xml:space="preserve">will be </w:t>
      </w:r>
      <w:r w:rsidR="0007535B">
        <w:rPr>
          <w:lang w:val="en-GB"/>
        </w:rPr>
        <w:t xml:space="preserve">compared to </w:t>
      </w:r>
      <w:r>
        <w:rPr>
          <w:lang w:val="en-GB"/>
        </w:rPr>
        <w:t>the reference value</w:t>
      </w:r>
      <w:r w:rsidR="0007535B">
        <w:rPr>
          <w:lang w:val="en-GB"/>
        </w:rPr>
        <w:t xml:space="preserve"> by calculating </w:t>
      </w:r>
      <w:r w:rsidR="00490E48">
        <w:rPr>
          <w:lang w:val="en-GB"/>
        </w:rPr>
        <w:t xml:space="preserve">a </w:t>
      </w:r>
      <w:r w:rsidR="0007535B">
        <w:rPr>
          <w:lang w:val="en-GB"/>
        </w:rPr>
        <w:t xml:space="preserve">ratio between calibration coefficients of </w:t>
      </w:r>
      <w:r w:rsidR="00AF3D33">
        <w:rPr>
          <w:lang w:val="en-GB"/>
        </w:rPr>
        <w:t>NPL</w:t>
      </w:r>
      <w:r w:rsidR="0007535B">
        <w:rPr>
          <w:lang w:val="en-GB"/>
        </w:rPr>
        <w:t xml:space="preserve"> </w:t>
      </w:r>
      <w:r w:rsidR="0007535B" w:rsidRPr="00FC0A04">
        <w:rPr>
          <w:lang w:val="en-GB"/>
        </w:rPr>
        <w:t xml:space="preserve">and </w:t>
      </w:r>
      <w:r w:rsidR="00EE13E4" w:rsidRPr="00FC0A04">
        <w:rPr>
          <w:lang w:val="en-GB"/>
        </w:rPr>
        <w:t>STUK</w:t>
      </w:r>
      <w:r w:rsidR="0007535B" w:rsidRPr="00FC0A04">
        <w:rPr>
          <w:lang w:val="en-GB"/>
        </w:rPr>
        <w:t xml:space="preserve">, e.g. </w:t>
      </w:r>
      <w:r w:rsidR="0007535B" w:rsidRPr="00FC0A04">
        <w:rPr>
          <w:i/>
          <w:iCs/>
          <w:lang w:val="en-GB"/>
        </w:rPr>
        <w:t>N</w:t>
      </w:r>
      <w:r w:rsidR="00EE13E4" w:rsidRPr="00FC0A04">
        <w:rPr>
          <w:i/>
          <w:iCs/>
          <w:vertAlign w:val="subscript"/>
          <w:lang w:val="en-GB"/>
        </w:rPr>
        <w:t>NPL</w:t>
      </w:r>
      <w:r w:rsidR="00623346" w:rsidRPr="00FC0A04">
        <w:rPr>
          <w:i/>
          <w:iCs/>
          <w:lang w:val="en-GB"/>
        </w:rPr>
        <w:t>/N</w:t>
      </w:r>
      <w:r w:rsidR="00623346" w:rsidRPr="00FC0A04">
        <w:rPr>
          <w:i/>
          <w:iCs/>
          <w:vertAlign w:val="subscript"/>
          <w:lang w:val="en-GB"/>
        </w:rPr>
        <w:t>S</w:t>
      </w:r>
      <w:r w:rsidR="00EE13E4" w:rsidRPr="00FC0A04">
        <w:rPr>
          <w:i/>
          <w:iCs/>
          <w:vertAlign w:val="subscript"/>
          <w:lang w:val="en-GB"/>
        </w:rPr>
        <w:t>TUK</w:t>
      </w:r>
      <w:r w:rsidR="00ED1EF0" w:rsidRPr="00FC0A04">
        <w:rPr>
          <w:i/>
          <w:iCs/>
          <w:lang w:val="en-GB"/>
        </w:rPr>
        <w:t>.</w:t>
      </w:r>
      <w:r w:rsidR="00623346" w:rsidRPr="00FC0A04">
        <w:rPr>
          <w:lang w:val="en-GB"/>
        </w:rPr>
        <w:t xml:space="preserve"> </w:t>
      </w:r>
    </w:p>
    <w:p w14:paraId="6F20691D" w14:textId="25F14F3D" w:rsidR="007E32EB" w:rsidRPr="00836454" w:rsidRDefault="007E32EB" w:rsidP="007E32EB">
      <w:pPr>
        <w:pStyle w:val="berschrift2"/>
        <w:rPr>
          <w:lang w:val="en-GB"/>
        </w:rPr>
      </w:pPr>
      <w:bookmarkStart w:id="11" w:name="_Toc179201985"/>
      <w:r>
        <w:rPr>
          <w:lang w:val="en-GB"/>
        </w:rPr>
        <w:t>Determination of the calibration coefficient</w:t>
      </w:r>
      <w:bookmarkEnd w:id="11"/>
    </w:p>
    <w:p w14:paraId="7BF49248" w14:textId="529EFD76" w:rsidR="00A7792D" w:rsidRDefault="00A7792D" w:rsidP="00FC2C51">
      <w:pPr>
        <w:pStyle w:val="Textkrper"/>
        <w:rPr>
          <w:lang w:val="en-US"/>
        </w:rPr>
      </w:pPr>
      <w:r>
        <w:rPr>
          <w:lang w:val="en-GB"/>
        </w:rPr>
        <w:t>Both</w:t>
      </w:r>
      <w:r w:rsidR="00356B97">
        <w:rPr>
          <w:lang w:val="en-US"/>
        </w:rPr>
        <w:t xml:space="preserve"> laborator</w:t>
      </w:r>
      <w:r>
        <w:rPr>
          <w:lang w:val="en-US"/>
        </w:rPr>
        <w:t>ies</w:t>
      </w:r>
      <w:r w:rsidR="00356B97">
        <w:rPr>
          <w:lang w:val="en-US"/>
        </w:rPr>
        <w:t xml:space="preserve"> detail their own procedure or </w:t>
      </w:r>
      <w:r w:rsidR="00CF621D">
        <w:rPr>
          <w:lang w:val="en-US"/>
        </w:rPr>
        <w:t xml:space="preserve">refers to </w:t>
      </w:r>
      <w:r w:rsidR="00356B97">
        <w:rPr>
          <w:lang w:val="en-US"/>
        </w:rPr>
        <w:t xml:space="preserve">international </w:t>
      </w:r>
      <w:r w:rsidR="00CF621D">
        <w:rPr>
          <w:lang w:val="en-US"/>
        </w:rPr>
        <w:t>practices/</w:t>
      </w:r>
      <w:r w:rsidR="0096652F">
        <w:rPr>
          <w:lang w:val="en-US"/>
        </w:rPr>
        <w:t xml:space="preserve"> </w:t>
      </w:r>
      <w:r w:rsidR="00CF621D">
        <w:rPr>
          <w:lang w:val="en-US"/>
        </w:rPr>
        <w:t>guidance followed when performing the calibration.</w:t>
      </w:r>
      <w:r w:rsidR="00356B97">
        <w:rPr>
          <w:lang w:val="en-US"/>
        </w:rPr>
        <w:t xml:space="preserve"> </w:t>
      </w:r>
      <w:r w:rsidR="0060190B">
        <w:rPr>
          <w:lang w:val="en-US"/>
        </w:rPr>
        <w:t xml:space="preserve">The fluence/dose rates used in calibration shall be reported. Possible </w:t>
      </w:r>
      <w:r w:rsidR="0008549A">
        <w:rPr>
          <w:lang w:val="en-US"/>
        </w:rPr>
        <w:t>dose</w:t>
      </w:r>
      <w:r w:rsidR="0048544A">
        <w:rPr>
          <w:lang w:val="en-US"/>
        </w:rPr>
        <w:t xml:space="preserve"> </w:t>
      </w:r>
      <w:r w:rsidR="0008549A">
        <w:rPr>
          <w:lang w:val="en-US"/>
        </w:rPr>
        <w:t>rate dependency of the dosimeter</w:t>
      </w:r>
      <w:r w:rsidR="0060190B">
        <w:rPr>
          <w:lang w:val="en-US"/>
        </w:rPr>
        <w:t xml:space="preserve"> should be considered. </w:t>
      </w:r>
      <w:r w:rsidR="00BE5124">
        <w:rPr>
          <w:lang w:val="en-US"/>
        </w:rPr>
        <w:t>For example, coefficient can be given for different dose/fluence rates. A short description of determining the reference fluence/dose rate shall be included, including significant corrections on measurement result, if applicable.</w:t>
      </w:r>
    </w:p>
    <w:p w14:paraId="5FE030A7" w14:textId="224EA4BD" w:rsidR="00BF2C5E" w:rsidRDefault="00BF2C5E" w:rsidP="00BF2C5E">
      <w:pPr>
        <w:pStyle w:val="berschrift2"/>
        <w:rPr>
          <w:lang w:val="en-GB"/>
        </w:rPr>
      </w:pPr>
      <w:bookmarkStart w:id="12" w:name="_Toc179201986"/>
      <w:r>
        <w:rPr>
          <w:lang w:val="en-GB"/>
        </w:rPr>
        <w:t>Uncertainty budgets</w:t>
      </w:r>
      <w:bookmarkEnd w:id="12"/>
    </w:p>
    <w:p w14:paraId="22E31F96" w14:textId="6BE6EFE0" w:rsidR="003C3D82" w:rsidRDefault="00D828F1" w:rsidP="00BF2C5E">
      <w:pPr>
        <w:pStyle w:val="Textkrper"/>
        <w:rPr>
          <w:lang w:val="en-GB"/>
        </w:rPr>
      </w:pPr>
      <w:r>
        <w:rPr>
          <w:lang w:val="en-GB"/>
        </w:rPr>
        <w:t>I</w:t>
      </w:r>
      <w:r w:rsidR="003C3D82">
        <w:rPr>
          <w:lang w:val="en-GB"/>
        </w:rPr>
        <w:t xml:space="preserve">n addition to </w:t>
      </w:r>
      <w:r w:rsidR="00CA5B1C">
        <w:rPr>
          <w:lang w:val="en-GB"/>
        </w:rPr>
        <w:t>calibration coefficients</w:t>
      </w:r>
      <w:r>
        <w:rPr>
          <w:lang w:val="en-GB"/>
        </w:rPr>
        <w:t xml:space="preserve"> each participant shall provide </w:t>
      </w:r>
      <w:r w:rsidR="002F5E0D">
        <w:rPr>
          <w:lang w:val="en-GB"/>
        </w:rPr>
        <w:t xml:space="preserve">a </w:t>
      </w:r>
      <w:r w:rsidR="00206E83">
        <w:rPr>
          <w:lang w:val="en-GB"/>
        </w:rPr>
        <w:t>detailed</w:t>
      </w:r>
      <w:r w:rsidR="002F5E0D">
        <w:rPr>
          <w:lang w:val="en-GB"/>
        </w:rPr>
        <w:t xml:space="preserve"> measurement </w:t>
      </w:r>
      <w:r w:rsidR="001A62B4">
        <w:rPr>
          <w:lang w:val="en-GB"/>
        </w:rPr>
        <w:t xml:space="preserve">uncertainty budget for each calibration quantity. </w:t>
      </w:r>
      <w:r w:rsidR="003C3D82">
        <w:rPr>
          <w:lang w:val="en-GB"/>
        </w:rPr>
        <w:t>Each participant shall describe the main components of the uncertainty in the budget</w:t>
      </w:r>
      <w:r w:rsidR="007B0D89">
        <w:rPr>
          <w:lang w:val="en-GB"/>
        </w:rPr>
        <w:t xml:space="preserve"> </w:t>
      </w:r>
      <w:r w:rsidR="00E67EB5">
        <w:rPr>
          <w:lang w:val="en-GB"/>
        </w:rPr>
        <w:t xml:space="preserve">in the level of one standard uncertainty </w:t>
      </w:r>
      <w:r w:rsidR="003C3D82">
        <w:rPr>
          <w:lang w:val="en-GB"/>
        </w:rPr>
        <w:t xml:space="preserve">and provide the final </w:t>
      </w:r>
      <w:r w:rsidR="00FB69CC">
        <w:rPr>
          <w:lang w:val="en-GB"/>
        </w:rPr>
        <w:t xml:space="preserve">expanded </w:t>
      </w:r>
      <w:r w:rsidR="000A437A">
        <w:rPr>
          <w:lang w:val="en-GB"/>
        </w:rPr>
        <w:t xml:space="preserve">combined </w:t>
      </w:r>
      <w:r w:rsidR="003C3D82">
        <w:rPr>
          <w:lang w:val="en-GB"/>
        </w:rPr>
        <w:t>uncertainty</w:t>
      </w:r>
      <w:r w:rsidR="00EC3477">
        <w:rPr>
          <w:lang w:val="en-GB"/>
        </w:rPr>
        <w:t xml:space="preserve">, </w:t>
      </w:r>
      <w:r w:rsidR="00EC3477" w:rsidRPr="002F5E0D">
        <w:rPr>
          <w:i/>
          <w:lang w:val="en-GB"/>
        </w:rPr>
        <w:t>k</w:t>
      </w:r>
      <w:r w:rsidR="00EC3477">
        <w:rPr>
          <w:lang w:val="en-GB"/>
        </w:rPr>
        <w:t>=2</w:t>
      </w:r>
      <w:r w:rsidR="003C3D82">
        <w:rPr>
          <w:lang w:val="en-GB"/>
        </w:rPr>
        <w:t>.</w:t>
      </w:r>
      <w:r w:rsidR="00F6435D">
        <w:rPr>
          <w:lang w:val="en-GB"/>
        </w:rPr>
        <w:t xml:space="preserve"> The </w:t>
      </w:r>
      <w:r w:rsidR="0088683B">
        <w:rPr>
          <w:lang w:val="en-GB"/>
        </w:rPr>
        <w:t xml:space="preserve">detailed </w:t>
      </w:r>
      <w:r w:rsidR="00F6435D">
        <w:rPr>
          <w:lang w:val="en-GB"/>
        </w:rPr>
        <w:t>uncertainty budget shall be</w:t>
      </w:r>
      <w:r w:rsidR="000A437A">
        <w:rPr>
          <w:lang w:val="en-GB"/>
        </w:rPr>
        <w:t xml:space="preserve"> provided</w:t>
      </w:r>
      <w:r w:rsidR="00F6435D">
        <w:rPr>
          <w:lang w:val="en-GB"/>
        </w:rPr>
        <w:t xml:space="preserve"> </w:t>
      </w:r>
      <w:r w:rsidR="00F6435D" w:rsidRPr="005E1980">
        <w:rPr>
          <w:lang w:val="en-US"/>
        </w:rPr>
        <w:t>in accordance with the Guide to the Expression of Uncertainties in measurements</w:t>
      </w:r>
      <w:r w:rsidR="0026055C">
        <w:rPr>
          <w:lang w:val="en-US"/>
        </w:rPr>
        <w:t xml:space="preserve"> </w:t>
      </w:r>
      <w:r w:rsidR="00F6435D">
        <w:rPr>
          <w:lang w:val="en-US"/>
        </w:rPr>
        <w:t>(JCGM, 2008)</w:t>
      </w:r>
      <w:r w:rsidR="000A437A">
        <w:rPr>
          <w:lang w:val="en-US"/>
        </w:rPr>
        <w:t xml:space="preserve"> </w:t>
      </w:r>
      <w:r w:rsidR="00EC3477">
        <w:rPr>
          <w:lang w:val="en-US"/>
        </w:rPr>
        <w:t>with</w:t>
      </w:r>
      <w:r w:rsidR="000A437A">
        <w:rPr>
          <w:lang w:val="en-US"/>
        </w:rPr>
        <w:t xml:space="preserve"> corresponding confidence level</w:t>
      </w:r>
      <w:r w:rsidR="00F6435D" w:rsidRPr="005E1980">
        <w:rPr>
          <w:lang w:val="en-US"/>
        </w:rPr>
        <w:t>.</w:t>
      </w:r>
      <w:r w:rsidR="00EB6BC0">
        <w:rPr>
          <w:lang w:val="en-US"/>
        </w:rPr>
        <w:t xml:space="preserve"> Components of </w:t>
      </w:r>
      <w:r w:rsidR="001F1E2E">
        <w:rPr>
          <w:lang w:val="en-US"/>
        </w:rPr>
        <w:t xml:space="preserve">the </w:t>
      </w:r>
      <w:r w:rsidR="00EB6BC0">
        <w:rPr>
          <w:lang w:val="en-US"/>
        </w:rPr>
        <w:t xml:space="preserve">uncertainty budget shall be provided as relative values </w:t>
      </w:r>
      <w:r w:rsidR="0008549A">
        <w:rPr>
          <w:lang w:val="en-US"/>
        </w:rPr>
        <w:t>(</w:t>
      </w:r>
      <w:r w:rsidR="00EB6BC0">
        <w:rPr>
          <w:lang w:val="en-US"/>
        </w:rPr>
        <w:t>%</w:t>
      </w:r>
      <w:r w:rsidR="0008549A">
        <w:rPr>
          <w:lang w:val="en-US"/>
        </w:rPr>
        <w:t>)</w:t>
      </w:r>
      <w:r w:rsidR="00EB6BC0">
        <w:rPr>
          <w:lang w:val="en-US"/>
        </w:rPr>
        <w:t>.</w:t>
      </w:r>
      <w:r w:rsidR="00F6435D">
        <w:rPr>
          <w:lang w:val="en-US"/>
        </w:rPr>
        <w:t xml:space="preserve"> </w:t>
      </w:r>
      <w:r w:rsidR="007B0D89">
        <w:rPr>
          <w:lang w:val="en-GB"/>
        </w:rPr>
        <w:t xml:space="preserve">It is expected that </w:t>
      </w:r>
      <w:r w:rsidR="001F1E2E">
        <w:rPr>
          <w:lang w:val="en-GB"/>
        </w:rPr>
        <w:t xml:space="preserve">in these measurements, </w:t>
      </w:r>
      <w:r w:rsidR="007B0D89">
        <w:rPr>
          <w:lang w:val="en-GB"/>
        </w:rPr>
        <w:t xml:space="preserve">participants </w:t>
      </w:r>
      <w:r w:rsidR="00E3425B">
        <w:rPr>
          <w:lang w:val="en-GB"/>
        </w:rPr>
        <w:t xml:space="preserve">achieve </w:t>
      </w:r>
      <w:r w:rsidR="007B0D89">
        <w:rPr>
          <w:lang w:val="en-GB"/>
        </w:rPr>
        <w:t xml:space="preserve">the best uncertainty </w:t>
      </w:r>
      <w:r w:rsidR="001F1E2E">
        <w:rPr>
          <w:lang w:val="en-GB"/>
        </w:rPr>
        <w:t xml:space="preserve">that </w:t>
      </w:r>
      <w:r w:rsidR="007B0D89">
        <w:rPr>
          <w:lang w:val="en-GB"/>
        </w:rPr>
        <w:t xml:space="preserve">is regularly available. </w:t>
      </w:r>
      <w:r w:rsidR="00CA5B1C" w:rsidRPr="00464D5D">
        <w:rPr>
          <w:lang w:val="en-GB"/>
        </w:rPr>
        <w:t xml:space="preserve">The report </w:t>
      </w:r>
      <w:r w:rsidR="001F1E2E">
        <w:rPr>
          <w:lang w:val="en-GB"/>
        </w:rPr>
        <w:t>E</w:t>
      </w:r>
      <w:r w:rsidR="00CA5B1C" w:rsidRPr="00464D5D">
        <w:rPr>
          <w:lang w:val="en-GB"/>
        </w:rPr>
        <w:t>xcel sheet includes an example form for the uncertainty budget</w:t>
      </w:r>
      <w:r w:rsidR="00B95CAC" w:rsidRPr="00464D5D">
        <w:rPr>
          <w:lang w:val="en-GB"/>
        </w:rPr>
        <w:t xml:space="preserve">, into which each laboratory </w:t>
      </w:r>
      <w:r w:rsidR="00464D5D" w:rsidRPr="00464D5D">
        <w:rPr>
          <w:lang w:val="en-GB"/>
        </w:rPr>
        <w:t>is recommended to</w:t>
      </w:r>
      <w:r w:rsidR="00B95CAC" w:rsidRPr="00464D5D">
        <w:rPr>
          <w:lang w:val="en-GB"/>
        </w:rPr>
        <w:t xml:space="preserve"> add components according to their procedures</w:t>
      </w:r>
      <w:r w:rsidR="00CA5B1C" w:rsidRPr="00464D5D">
        <w:rPr>
          <w:lang w:val="en-GB"/>
        </w:rPr>
        <w:t>.</w:t>
      </w:r>
      <w:r w:rsidR="00B95CAC" w:rsidRPr="00464D5D">
        <w:rPr>
          <w:lang w:val="en-GB"/>
        </w:rPr>
        <w:t xml:space="preserve"> </w:t>
      </w:r>
    </w:p>
    <w:p w14:paraId="714A10BC" w14:textId="6A5BF29D" w:rsidR="00BF2C5E" w:rsidRDefault="00BF2C5E" w:rsidP="00BF2C5E">
      <w:pPr>
        <w:pStyle w:val="berschrift2"/>
        <w:rPr>
          <w:lang w:val="en-GB"/>
        </w:rPr>
      </w:pPr>
      <w:bookmarkStart w:id="13" w:name="_Toc179201987"/>
      <w:r>
        <w:rPr>
          <w:lang w:val="en-GB"/>
        </w:rPr>
        <w:t>Reporting the results</w:t>
      </w:r>
      <w:bookmarkEnd w:id="13"/>
    </w:p>
    <w:p w14:paraId="320AF010" w14:textId="1A997212" w:rsidR="00BF2C5E" w:rsidRPr="000952BE" w:rsidRDefault="000952BE" w:rsidP="000952BE">
      <w:pPr>
        <w:pStyle w:val="Textkrper"/>
        <w:rPr>
          <w:lang w:val="en-GB"/>
        </w:rPr>
      </w:pPr>
      <w:r>
        <w:rPr>
          <w:lang w:val="en-GB"/>
        </w:rPr>
        <w:t xml:space="preserve">STUK as a pilot laboratory </w:t>
      </w:r>
      <w:r w:rsidR="00F54A02">
        <w:rPr>
          <w:lang w:val="en-GB"/>
        </w:rPr>
        <w:t xml:space="preserve">will send </w:t>
      </w:r>
      <w:r>
        <w:rPr>
          <w:lang w:val="en-GB"/>
        </w:rPr>
        <w:t>its</w:t>
      </w:r>
      <w:r w:rsidR="00F54A02">
        <w:rPr>
          <w:lang w:val="en-GB"/>
        </w:rPr>
        <w:t xml:space="preserve"> results to </w:t>
      </w:r>
      <w:r w:rsidR="001F1E2E" w:rsidRPr="005803BD">
        <w:rPr>
          <w:lang w:val="en-GB"/>
        </w:rPr>
        <w:t xml:space="preserve">the </w:t>
      </w:r>
      <w:r w:rsidR="00F54A02" w:rsidRPr="005803BD">
        <w:rPr>
          <w:lang w:val="en-GB"/>
        </w:rPr>
        <w:t xml:space="preserve">CCRI </w:t>
      </w:r>
      <w:r w:rsidR="001F1E2E" w:rsidRPr="005803BD">
        <w:rPr>
          <w:lang w:val="en-GB"/>
        </w:rPr>
        <w:t>Executive S</w:t>
      </w:r>
      <w:r w:rsidR="00F54A02" w:rsidRPr="005803BD">
        <w:rPr>
          <w:lang w:val="en-GB"/>
        </w:rPr>
        <w:t>ecretary Vincent G</w:t>
      </w:r>
      <w:r w:rsidR="004F50EC" w:rsidRPr="005803BD">
        <w:rPr>
          <w:lang w:val="en-GB"/>
        </w:rPr>
        <w:t>ressier</w:t>
      </w:r>
      <w:r w:rsidR="00DC555E">
        <w:rPr>
          <w:lang w:val="en-GB"/>
        </w:rPr>
        <w:t xml:space="preserve"> (</w:t>
      </w:r>
      <w:hyperlink w:history="1">
        <w:r w:rsidR="00210E8C" w:rsidRPr="00DC555E">
          <w:rPr>
            <w:rStyle w:val="Hyperlink"/>
            <w:lang w:val="en-GB"/>
          </w:rPr>
          <w:t>vincent.gressier@bipm.org</w:t>
        </w:r>
      </w:hyperlink>
      <w:r w:rsidR="00DC555E">
        <w:rPr>
          <w:lang w:val="en-GB"/>
        </w:rPr>
        <w:t>)</w:t>
      </w:r>
      <w:r w:rsidR="00630BD2">
        <w:rPr>
          <w:lang w:val="en-GB"/>
        </w:rPr>
        <w:t xml:space="preserve"> </w:t>
      </w:r>
      <w:r w:rsidR="008B6259" w:rsidRPr="005803BD">
        <w:rPr>
          <w:lang w:val="en-GB"/>
        </w:rPr>
        <w:t xml:space="preserve">within </w:t>
      </w:r>
      <w:r w:rsidR="008D1240">
        <w:rPr>
          <w:lang w:val="en-GB"/>
        </w:rPr>
        <w:t>3</w:t>
      </w:r>
      <w:r w:rsidR="008B6259" w:rsidRPr="005803BD">
        <w:rPr>
          <w:lang w:val="en-GB"/>
        </w:rPr>
        <w:t xml:space="preserve"> weeks </w:t>
      </w:r>
      <w:r w:rsidR="00BE1E07" w:rsidRPr="005803BD">
        <w:rPr>
          <w:lang w:val="en-GB"/>
        </w:rPr>
        <w:t xml:space="preserve">of completing </w:t>
      </w:r>
      <w:r w:rsidR="00F54A02" w:rsidRPr="005803BD">
        <w:rPr>
          <w:lang w:val="en-GB"/>
        </w:rPr>
        <w:t xml:space="preserve">their measurements. </w:t>
      </w:r>
      <w:r w:rsidR="005264C2" w:rsidRPr="005803BD">
        <w:rPr>
          <w:lang w:val="en-GB"/>
        </w:rPr>
        <w:t xml:space="preserve"> </w:t>
      </w:r>
      <w:r w:rsidR="00825118">
        <w:rPr>
          <w:lang w:val="en-GB"/>
        </w:rPr>
        <w:t xml:space="preserve">As an additional stability data </w:t>
      </w:r>
      <w:r w:rsidR="00BE1E07">
        <w:rPr>
          <w:lang w:val="en-GB"/>
        </w:rPr>
        <w:t xml:space="preserve">set </w:t>
      </w:r>
      <w:r w:rsidR="00825118">
        <w:rPr>
          <w:lang w:val="en-GB"/>
        </w:rPr>
        <w:t xml:space="preserve">for the </w:t>
      </w:r>
      <w:r w:rsidR="007355DD">
        <w:rPr>
          <w:lang w:val="en-GB"/>
        </w:rPr>
        <w:t>equipment</w:t>
      </w:r>
      <w:r w:rsidR="00825118">
        <w:rPr>
          <w:lang w:val="en-GB"/>
        </w:rPr>
        <w:t>, the chamber owners</w:t>
      </w:r>
      <w:r w:rsidR="002B3584">
        <w:rPr>
          <w:lang w:val="en-GB"/>
        </w:rPr>
        <w:t>’</w:t>
      </w:r>
      <w:r w:rsidR="00825118">
        <w:rPr>
          <w:lang w:val="en-GB"/>
        </w:rPr>
        <w:t xml:space="preserve"> </w:t>
      </w:r>
      <w:r>
        <w:rPr>
          <w:lang w:val="en-GB"/>
        </w:rPr>
        <w:t xml:space="preserve">(STUK’s) </w:t>
      </w:r>
      <w:r w:rsidR="00825118">
        <w:rPr>
          <w:lang w:val="en-GB"/>
        </w:rPr>
        <w:t xml:space="preserve">follow-up data for </w:t>
      </w:r>
      <w:r w:rsidR="001F1E2E">
        <w:rPr>
          <w:lang w:val="en-GB"/>
        </w:rPr>
        <w:t xml:space="preserve">each of </w:t>
      </w:r>
      <w:r w:rsidR="00825118">
        <w:rPr>
          <w:lang w:val="en-GB"/>
        </w:rPr>
        <w:t>the chambers might be used.</w:t>
      </w:r>
      <w:r w:rsidR="008B6259">
        <w:rPr>
          <w:lang w:val="en-GB"/>
        </w:rPr>
        <w:t xml:space="preserve"> </w:t>
      </w:r>
    </w:p>
    <w:p w14:paraId="1ECF23A2" w14:textId="0EB38CF3" w:rsidR="00774CC6" w:rsidRDefault="00956C2B" w:rsidP="000952BE">
      <w:pPr>
        <w:pStyle w:val="Textkrper"/>
        <w:rPr>
          <w:lang w:val="en-GB"/>
        </w:rPr>
      </w:pPr>
      <w:r>
        <w:rPr>
          <w:lang w:val="en-GB"/>
        </w:rPr>
        <w:t>A</w:t>
      </w:r>
      <w:r w:rsidR="005628F3">
        <w:rPr>
          <w:lang w:val="en-GB"/>
        </w:rPr>
        <w:t xml:space="preserve"> common </w:t>
      </w:r>
      <w:r w:rsidR="001F1E2E">
        <w:rPr>
          <w:lang w:val="en-GB"/>
        </w:rPr>
        <w:t>E</w:t>
      </w:r>
      <w:r w:rsidR="00CA5B1C">
        <w:rPr>
          <w:lang w:val="en-GB"/>
        </w:rPr>
        <w:t xml:space="preserve">xcel </w:t>
      </w:r>
      <w:r w:rsidR="005628F3">
        <w:rPr>
          <w:lang w:val="en-GB"/>
        </w:rPr>
        <w:t xml:space="preserve">template for reporting the results </w:t>
      </w:r>
      <w:r>
        <w:rPr>
          <w:lang w:val="en-GB"/>
        </w:rPr>
        <w:t>will be provided</w:t>
      </w:r>
      <w:r w:rsidR="00CA5B1C">
        <w:rPr>
          <w:lang w:val="en-GB"/>
        </w:rPr>
        <w:t xml:space="preserve"> </w:t>
      </w:r>
      <w:r w:rsidR="001F1E2E">
        <w:rPr>
          <w:lang w:val="en-GB"/>
        </w:rPr>
        <w:t>to participant</w:t>
      </w:r>
      <w:r w:rsidR="007355DD">
        <w:rPr>
          <w:lang w:val="en-GB"/>
        </w:rPr>
        <w:t>s</w:t>
      </w:r>
      <w:r w:rsidR="001F1E2E">
        <w:rPr>
          <w:lang w:val="en-GB"/>
        </w:rPr>
        <w:t xml:space="preserve"> </w:t>
      </w:r>
      <w:r w:rsidR="00CA5B1C">
        <w:rPr>
          <w:lang w:val="en-GB"/>
        </w:rPr>
        <w:t xml:space="preserve">in addition to </w:t>
      </w:r>
      <w:r w:rsidR="001F1E2E">
        <w:rPr>
          <w:lang w:val="en-GB"/>
        </w:rPr>
        <w:t xml:space="preserve">the </w:t>
      </w:r>
      <w:r w:rsidR="00CA5B1C">
        <w:rPr>
          <w:lang w:val="en-GB"/>
        </w:rPr>
        <w:t>technical protocol.</w:t>
      </w:r>
      <w:r w:rsidR="000952BE">
        <w:rPr>
          <w:lang w:val="en-GB"/>
        </w:rPr>
        <w:t xml:space="preserve"> After STUK has sent its data to CCRI executive secretary, NPL will submit their data to STUK for analysis. NPL will submit their data within 6 weeks of completing their measurements. </w:t>
      </w:r>
      <w:r w:rsidR="00F80DFC">
        <w:rPr>
          <w:lang w:val="en-GB"/>
        </w:rPr>
        <w:t>If there</w:t>
      </w:r>
      <w:r w:rsidR="001F1E2E">
        <w:rPr>
          <w:lang w:val="en-GB"/>
        </w:rPr>
        <w:t xml:space="preserve"> is</w:t>
      </w:r>
      <w:r w:rsidR="00F80DFC">
        <w:rPr>
          <w:lang w:val="en-GB"/>
        </w:rPr>
        <w:t xml:space="preserve"> not enough </w:t>
      </w:r>
      <w:r w:rsidR="001F1E2E">
        <w:rPr>
          <w:lang w:val="en-GB"/>
        </w:rPr>
        <w:t xml:space="preserve">information </w:t>
      </w:r>
      <w:r w:rsidR="00F80DFC">
        <w:rPr>
          <w:lang w:val="en-GB"/>
        </w:rPr>
        <w:t>available, e.g.</w:t>
      </w:r>
      <w:r w:rsidR="001F1E2E">
        <w:rPr>
          <w:lang w:val="en-GB"/>
        </w:rPr>
        <w:t>,</w:t>
      </w:r>
      <w:r w:rsidR="00F80DFC">
        <w:rPr>
          <w:lang w:val="en-GB"/>
        </w:rPr>
        <w:t xml:space="preserve"> uncertainty budgets don’t </w:t>
      </w:r>
      <w:r w:rsidR="00774CC6">
        <w:rPr>
          <w:lang w:val="en-GB"/>
        </w:rPr>
        <w:t xml:space="preserve">include all needed components to estimate/calculate degrees of equivalence for the comparison, the pilot laboratory (STUK) reserves the right to contact </w:t>
      </w:r>
      <w:r w:rsidR="001F1E2E">
        <w:rPr>
          <w:lang w:val="en-GB"/>
        </w:rPr>
        <w:t xml:space="preserve">the </w:t>
      </w:r>
      <w:r w:rsidR="00774CC6">
        <w:rPr>
          <w:lang w:val="en-GB"/>
        </w:rPr>
        <w:t xml:space="preserve">participant to obtain </w:t>
      </w:r>
      <w:r w:rsidR="001F1E2E">
        <w:rPr>
          <w:lang w:val="en-GB"/>
        </w:rPr>
        <w:t xml:space="preserve">the </w:t>
      </w:r>
      <w:r w:rsidR="000952BE">
        <w:rPr>
          <w:lang w:val="en-GB"/>
        </w:rPr>
        <w:t xml:space="preserve">missing </w:t>
      </w:r>
      <w:r w:rsidR="00774CC6">
        <w:rPr>
          <w:lang w:val="en-GB"/>
        </w:rPr>
        <w:t xml:space="preserve">details. </w:t>
      </w:r>
    </w:p>
    <w:p w14:paraId="37707F30" w14:textId="4DB09ED7" w:rsidR="005628F3" w:rsidRDefault="005628F3" w:rsidP="005628F3">
      <w:pPr>
        <w:pStyle w:val="berschrift2"/>
        <w:rPr>
          <w:lang w:val="en-GB"/>
        </w:rPr>
      </w:pPr>
      <w:bookmarkStart w:id="14" w:name="_Toc179201988"/>
      <w:r>
        <w:rPr>
          <w:lang w:val="en-GB"/>
        </w:rPr>
        <w:lastRenderedPageBreak/>
        <w:t>Evaluation the results</w:t>
      </w:r>
      <w:bookmarkEnd w:id="14"/>
    </w:p>
    <w:p w14:paraId="5403BEBB" w14:textId="10064433" w:rsidR="00EF5499" w:rsidRPr="007355DD" w:rsidRDefault="005628F3" w:rsidP="00A0024F">
      <w:pPr>
        <w:pStyle w:val="Textkrper"/>
        <w:rPr>
          <w:color w:val="FF0000"/>
          <w:lang w:val="en-GB"/>
        </w:rPr>
      </w:pPr>
      <w:r>
        <w:rPr>
          <w:lang w:val="en-GB"/>
        </w:rPr>
        <w:t xml:space="preserve">After the </w:t>
      </w:r>
      <w:r w:rsidR="00A73553">
        <w:rPr>
          <w:lang w:val="en-GB"/>
        </w:rPr>
        <w:t xml:space="preserve">reporting </w:t>
      </w:r>
      <w:r>
        <w:rPr>
          <w:lang w:val="en-GB"/>
        </w:rPr>
        <w:t>pilot laboratory (STUK) has received all results</w:t>
      </w:r>
      <w:r w:rsidR="001F1E2E">
        <w:rPr>
          <w:lang w:val="en-GB"/>
        </w:rPr>
        <w:t>,</w:t>
      </w:r>
      <w:r w:rsidR="00825118">
        <w:rPr>
          <w:lang w:val="en-GB"/>
        </w:rPr>
        <w:t xml:space="preserve"> </w:t>
      </w:r>
      <w:r>
        <w:rPr>
          <w:lang w:val="en-GB"/>
        </w:rPr>
        <w:t xml:space="preserve">the results of </w:t>
      </w:r>
      <w:r w:rsidR="001F1E2E">
        <w:rPr>
          <w:lang w:val="en-GB"/>
        </w:rPr>
        <w:t xml:space="preserve">the </w:t>
      </w:r>
      <w:r w:rsidR="007355DD">
        <w:rPr>
          <w:lang w:val="en-GB"/>
        </w:rPr>
        <w:t>STUK</w:t>
      </w:r>
      <w:r>
        <w:rPr>
          <w:lang w:val="en-GB"/>
        </w:rPr>
        <w:t xml:space="preserve"> will be evaluated in comparison to </w:t>
      </w:r>
      <w:r w:rsidR="007355DD">
        <w:rPr>
          <w:lang w:val="en-GB"/>
        </w:rPr>
        <w:t>NPL</w:t>
      </w:r>
      <w:r>
        <w:rPr>
          <w:lang w:val="en-GB"/>
        </w:rPr>
        <w:t>’s results</w:t>
      </w:r>
      <w:r w:rsidR="00464D5D">
        <w:rPr>
          <w:lang w:val="en-GB"/>
        </w:rPr>
        <w:t xml:space="preserve"> as </w:t>
      </w:r>
      <w:r w:rsidR="007355DD">
        <w:rPr>
          <w:lang w:val="en-GB"/>
        </w:rPr>
        <w:t>NPL</w:t>
      </w:r>
      <w:r w:rsidR="00464D5D">
        <w:rPr>
          <w:lang w:val="en-GB"/>
        </w:rPr>
        <w:t xml:space="preserve"> provides a reference value for this comparison</w:t>
      </w:r>
      <w:r>
        <w:rPr>
          <w:lang w:val="en-GB"/>
        </w:rPr>
        <w:t xml:space="preserve">. The results will be analysed for single </w:t>
      </w:r>
      <w:r w:rsidR="00EE13E4">
        <w:rPr>
          <w:lang w:val="en-GB"/>
        </w:rPr>
        <w:t>instrument and quantity</w:t>
      </w:r>
      <w:r>
        <w:rPr>
          <w:lang w:val="en-GB"/>
        </w:rPr>
        <w:t xml:space="preserve">. </w:t>
      </w:r>
      <w:r w:rsidR="000952BE">
        <w:rPr>
          <w:lang w:val="en-GB"/>
        </w:rPr>
        <w:t>In principle, the uncertainties need to overlap that results are considered equivalent.</w:t>
      </w:r>
    </w:p>
    <w:p w14:paraId="5D936CE4" w14:textId="4EB33C45" w:rsidR="007E32EB" w:rsidRPr="007355DD" w:rsidRDefault="005628F3" w:rsidP="00836454">
      <w:pPr>
        <w:pStyle w:val="Textkrper"/>
        <w:rPr>
          <w:lang w:val="en-GB"/>
        </w:rPr>
      </w:pPr>
      <w:r w:rsidRPr="007355DD">
        <w:rPr>
          <w:lang w:val="en-GB"/>
        </w:rPr>
        <w:t xml:space="preserve">Further details for data analysis </w:t>
      </w:r>
      <w:r w:rsidR="00315FFD" w:rsidRPr="007355DD">
        <w:rPr>
          <w:lang w:val="en-GB"/>
        </w:rPr>
        <w:t>may</w:t>
      </w:r>
      <w:r w:rsidRPr="007355DD">
        <w:rPr>
          <w:lang w:val="en-GB"/>
        </w:rPr>
        <w:t xml:space="preserve"> be discussed among the participants </w:t>
      </w:r>
      <w:proofErr w:type="gramStart"/>
      <w:r w:rsidRPr="007355DD">
        <w:rPr>
          <w:lang w:val="en-GB"/>
        </w:rPr>
        <w:t>on the basis of</w:t>
      </w:r>
      <w:proofErr w:type="gramEnd"/>
      <w:r w:rsidRPr="007355DD">
        <w:rPr>
          <w:lang w:val="en-GB"/>
        </w:rPr>
        <w:t xml:space="preserve"> </w:t>
      </w:r>
      <w:r w:rsidR="00821AF1" w:rsidRPr="007355DD">
        <w:rPr>
          <w:lang w:val="en-GB"/>
        </w:rPr>
        <w:t xml:space="preserve">the </w:t>
      </w:r>
      <w:r w:rsidRPr="007355DD">
        <w:rPr>
          <w:lang w:val="en-GB"/>
        </w:rPr>
        <w:t>Draft A report.</w:t>
      </w:r>
    </w:p>
    <w:p w14:paraId="752127AE" w14:textId="6A0FE936" w:rsidR="009C4EE5" w:rsidRPr="009C4EE5" w:rsidRDefault="009C4EE5" w:rsidP="009C4EE5">
      <w:pPr>
        <w:pStyle w:val="Textkrper"/>
        <w:rPr>
          <w:lang w:val="en-GB"/>
        </w:rPr>
      </w:pPr>
      <w:r>
        <w:rPr>
          <w:lang w:val="en-GB"/>
        </w:rPr>
        <w:t>In the reporting of the results</w:t>
      </w:r>
      <w:r w:rsidR="00821AF1">
        <w:rPr>
          <w:lang w:val="en-GB"/>
        </w:rPr>
        <w:t>,</w:t>
      </w:r>
      <w:r w:rsidR="00315FFD">
        <w:rPr>
          <w:lang w:val="en-GB"/>
        </w:rPr>
        <w:t xml:space="preserve"> document</w:t>
      </w:r>
      <w:r>
        <w:rPr>
          <w:lang w:val="en-GB"/>
        </w:rPr>
        <w:t xml:space="preserve"> </w:t>
      </w:r>
      <w:r w:rsidR="00821AF1">
        <w:rPr>
          <w:lang w:val="en-GB"/>
        </w:rPr>
        <w:t>“</w:t>
      </w:r>
      <w:r w:rsidRPr="009C4EE5">
        <w:rPr>
          <w:lang w:val="en-GB"/>
        </w:rPr>
        <w:t>CIPM MRA-G-11</w:t>
      </w:r>
      <w:r>
        <w:rPr>
          <w:lang w:val="en-GB"/>
        </w:rPr>
        <w:t>:</w:t>
      </w:r>
      <w:r w:rsidRPr="009C4EE5">
        <w:rPr>
          <w:lang w:val="en-US"/>
        </w:rPr>
        <w:t xml:space="preserve"> </w:t>
      </w:r>
      <w:r w:rsidRPr="009C4EE5">
        <w:rPr>
          <w:lang w:val="en-GB"/>
        </w:rPr>
        <w:t>Measurement comparisons in the CIPM MRA</w:t>
      </w:r>
      <w:r>
        <w:rPr>
          <w:lang w:val="en-GB"/>
        </w:rPr>
        <w:t xml:space="preserve">, </w:t>
      </w:r>
      <w:r w:rsidRPr="009C4EE5">
        <w:rPr>
          <w:lang w:val="en-GB"/>
        </w:rPr>
        <w:t>Guidelines for organizing, participating and reporting</w:t>
      </w:r>
      <w:r w:rsidR="00821AF1">
        <w:rPr>
          <w:lang w:val="en-GB"/>
        </w:rPr>
        <w:t>”</w:t>
      </w:r>
      <w:r>
        <w:rPr>
          <w:lang w:val="en-GB"/>
        </w:rPr>
        <w:t xml:space="preserve"> will be followed.</w:t>
      </w:r>
    </w:p>
    <w:p w14:paraId="39FE21D7" w14:textId="536D0B0F" w:rsidR="00836454" w:rsidRDefault="00836454" w:rsidP="00C24729">
      <w:pPr>
        <w:pStyle w:val="berschrift1"/>
        <w:rPr>
          <w:lang w:val="en-GB"/>
        </w:rPr>
      </w:pPr>
      <w:bookmarkStart w:id="15" w:name="_Toc179201989"/>
      <w:r>
        <w:rPr>
          <w:lang w:val="en-GB"/>
        </w:rPr>
        <w:t>Course of comparison</w:t>
      </w:r>
      <w:bookmarkEnd w:id="15"/>
    </w:p>
    <w:p w14:paraId="194E16CB" w14:textId="55AD5F19" w:rsidR="00836454" w:rsidRDefault="007E32EB" w:rsidP="007E32EB">
      <w:pPr>
        <w:pStyle w:val="berschrift2"/>
        <w:rPr>
          <w:lang w:val="en-GB"/>
        </w:rPr>
      </w:pPr>
      <w:bookmarkStart w:id="16" w:name="_Toc179201990"/>
      <w:r>
        <w:rPr>
          <w:lang w:val="en-GB"/>
        </w:rPr>
        <w:t>Transport and time schedule</w:t>
      </w:r>
      <w:bookmarkEnd w:id="16"/>
    </w:p>
    <w:p w14:paraId="077A3E8F" w14:textId="3B48D296" w:rsidR="007E32EB" w:rsidRPr="007E32EB" w:rsidRDefault="0090441B" w:rsidP="007E32EB">
      <w:pPr>
        <w:pStyle w:val="Textkrper"/>
        <w:rPr>
          <w:lang w:val="en-GB"/>
        </w:rPr>
      </w:pPr>
      <w:r>
        <w:rPr>
          <w:lang w:val="en-GB"/>
        </w:rPr>
        <w:t>Both</w:t>
      </w:r>
      <w:r w:rsidR="000B729B">
        <w:rPr>
          <w:lang w:val="en-GB"/>
        </w:rPr>
        <w:t xml:space="preserve"> laborator</w:t>
      </w:r>
      <w:r>
        <w:rPr>
          <w:lang w:val="en-GB"/>
        </w:rPr>
        <w:t>ies</w:t>
      </w:r>
      <w:r w:rsidR="000B729B">
        <w:rPr>
          <w:lang w:val="en-GB"/>
        </w:rPr>
        <w:t xml:space="preserve"> should</w:t>
      </w:r>
      <w:r w:rsidR="000B729B" w:rsidRPr="00C24729">
        <w:rPr>
          <w:lang w:val="en-GB"/>
        </w:rPr>
        <w:t xml:space="preserve"> make all the arrangements for safe transport of the transfer standard</w:t>
      </w:r>
      <w:r w:rsidR="000B729B">
        <w:rPr>
          <w:lang w:val="en-GB"/>
        </w:rPr>
        <w:t>s once measurements have been completed</w:t>
      </w:r>
      <w:r w:rsidR="000B729B" w:rsidRPr="00C24729">
        <w:rPr>
          <w:lang w:val="en-GB"/>
        </w:rPr>
        <w:t xml:space="preserve">. </w:t>
      </w:r>
      <w:r w:rsidR="007355DD">
        <w:rPr>
          <w:lang w:val="en-GB"/>
        </w:rPr>
        <w:t>STUK</w:t>
      </w:r>
      <w:r w:rsidR="007E32EB" w:rsidRPr="007E32EB">
        <w:rPr>
          <w:lang w:val="en-GB"/>
        </w:rPr>
        <w:t xml:space="preserve"> </w:t>
      </w:r>
      <w:r w:rsidR="007355DD">
        <w:rPr>
          <w:lang w:val="en-GB"/>
        </w:rPr>
        <w:t>is responsible for cost of transportation of the instruments to NPL and back to STUK</w:t>
      </w:r>
      <w:r w:rsidR="007E32EB" w:rsidRPr="007E32EB">
        <w:rPr>
          <w:lang w:val="en-GB"/>
        </w:rPr>
        <w:t xml:space="preserve">. The standards won’t be </w:t>
      </w:r>
      <w:r w:rsidR="005625B8" w:rsidRPr="007E32EB">
        <w:rPr>
          <w:lang w:val="en-GB"/>
        </w:rPr>
        <w:t>insured</w:t>
      </w:r>
      <w:r w:rsidR="00563EF7">
        <w:rPr>
          <w:lang w:val="en-GB"/>
        </w:rPr>
        <w:t xml:space="preserve"> by </w:t>
      </w:r>
      <w:r w:rsidR="00A0024F">
        <w:rPr>
          <w:lang w:val="en-GB"/>
        </w:rPr>
        <w:t>STUK</w:t>
      </w:r>
      <w:r w:rsidR="005625B8" w:rsidRPr="007E32EB">
        <w:rPr>
          <w:lang w:val="en-GB"/>
        </w:rPr>
        <w:t>,</w:t>
      </w:r>
      <w:r w:rsidR="005625B8">
        <w:rPr>
          <w:lang w:val="en-GB"/>
        </w:rPr>
        <w:t xml:space="preserve"> and </w:t>
      </w:r>
      <w:r w:rsidR="001E4BD7">
        <w:rPr>
          <w:lang w:val="en-GB"/>
        </w:rPr>
        <w:t>both</w:t>
      </w:r>
      <w:r w:rsidR="005625B8">
        <w:rPr>
          <w:lang w:val="en-GB"/>
        </w:rPr>
        <w:t xml:space="preserve"> participant</w:t>
      </w:r>
      <w:r w:rsidR="001E4BD7">
        <w:rPr>
          <w:lang w:val="en-GB"/>
        </w:rPr>
        <w:t>s are</w:t>
      </w:r>
      <w:r w:rsidR="005625B8">
        <w:rPr>
          <w:lang w:val="en-GB"/>
        </w:rPr>
        <w:t xml:space="preserve"> responsible for </w:t>
      </w:r>
      <w:r w:rsidR="00821AF1">
        <w:rPr>
          <w:lang w:val="en-GB"/>
        </w:rPr>
        <w:t xml:space="preserve">the </w:t>
      </w:r>
      <w:r w:rsidR="005625B8">
        <w:rPr>
          <w:lang w:val="en-GB"/>
        </w:rPr>
        <w:t xml:space="preserve">good care of the chambers in their facilities and good packing of the chambers for the </w:t>
      </w:r>
      <w:r w:rsidR="00821AF1">
        <w:rPr>
          <w:lang w:val="en-GB"/>
        </w:rPr>
        <w:t xml:space="preserve">subsequent </w:t>
      </w:r>
      <w:r w:rsidR="005625B8">
        <w:rPr>
          <w:lang w:val="en-GB"/>
        </w:rPr>
        <w:t>shipment</w:t>
      </w:r>
      <w:r w:rsidR="007E32EB" w:rsidRPr="007E32EB">
        <w:rPr>
          <w:lang w:val="en-GB"/>
        </w:rPr>
        <w:t xml:space="preserve">. </w:t>
      </w:r>
      <w:r w:rsidR="004F34EA">
        <w:rPr>
          <w:lang w:val="en-GB"/>
        </w:rPr>
        <w:t>Shipment shall be made using a courier</w:t>
      </w:r>
      <w:r w:rsidR="00A0024F">
        <w:rPr>
          <w:lang w:val="en-GB"/>
        </w:rPr>
        <w:t>.</w:t>
      </w:r>
    </w:p>
    <w:p w14:paraId="77BEA82C" w14:textId="3D051523" w:rsidR="007E32EB" w:rsidRPr="007E32EB" w:rsidRDefault="000218FF" w:rsidP="007E32EB">
      <w:pPr>
        <w:pStyle w:val="Textkrper"/>
        <w:rPr>
          <w:lang w:val="en-GB"/>
        </w:rPr>
      </w:pPr>
      <w:r>
        <w:rPr>
          <w:lang w:val="en-GB"/>
        </w:rPr>
        <w:t>The transfer standard</w:t>
      </w:r>
      <w:r w:rsidR="0006403C">
        <w:rPr>
          <w:lang w:val="en-GB"/>
        </w:rPr>
        <w:t>s are</w:t>
      </w:r>
      <w:r>
        <w:rPr>
          <w:lang w:val="en-GB"/>
        </w:rPr>
        <w:t xml:space="preserve"> packed in </w:t>
      </w:r>
      <w:r w:rsidR="0088683B">
        <w:rPr>
          <w:lang w:val="en-GB"/>
        </w:rPr>
        <w:t>a</w:t>
      </w:r>
      <w:r w:rsidR="007E32EB" w:rsidRPr="007E32EB">
        <w:rPr>
          <w:lang w:val="en-GB"/>
        </w:rPr>
        <w:t xml:space="preserve"> </w:t>
      </w:r>
      <w:r w:rsidR="003F2ABA">
        <w:rPr>
          <w:lang w:val="en-GB"/>
        </w:rPr>
        <w:t xml:space="preserve">protection </w:t>
      </w:r>
      <w:r w:rsidR="007E32EB" w:rsidRPr="007E32EB">
        <w:rPr>
          <w:lang w:val="en-GB"/>
        </w:rPr>
        <w:t xml:space="preserve">box together with a complete </w:t>
      </w:r>
      <w:r w:rsidR="0006403C">
        <w:rPr>
          <w:lang w:val="en-GB"/>
        </w:rPr>
        <w:t>information of t</w:t>
      </w:r>
      <w:r w:rsidR="007E32EB" w:rsidRPr="007E32EB">
        <w:rPr>
          <w:lang w:val="en-GB"/>
        </w:rPr>
        <w:t>he devices</w:t>
      </w:r>
      <w:r w:rsidR="0006403C">
        <w:rPr>
          <w:lang w:val="en-GB"/>
        </w:rPr>
        <w:t xml:space="preserve"> (i.e. technical protocol)</w:t>
      </w:r>
      <w:r>
        <w:rPr>
          <w:lang w:val="en-GB"/>
        </w:rPr>
        <w:t xml:space="preserve"> including information about the</w:t>
      </w:r>
      <w:r w:rsidR="007E32EB" w:rsidRPr="007E32EB">
        <w:rPr>
          <w:lang w:val="en-GB"/>
        </w:rPr>
        <w:t xml:space="preserve"> manufacturer, type, serial number, size, weight and technical data needed for their operation. The information also includes weight and size of the whole package</w:t>
      </w:r>
      <w:r w:rsidR="004F34EA">
        <w:rPr>
          <w:lang w:val="en-GB"/>
        </w:rPr>
        <w:t xml:space="preserve"> as well as</w:t>
      </w:r>
      <w:r w:rsidR="001C0CB1">
        <w:rPr>
          <w:lang w:val="en-GB"/>
        </w:rPr>
        <w:t xml:space="preserve"> value of the equipment for customs purposes</w:t>
      </w:r>
      <w:r w:rsidR="007E32EB" w:rsidRPr="007E32EB">
        <w:rPr>
          <w:lang w:val="en-GB"/>
        </w:rPr>
        <w:t>.</w:t>
      </w:r>
    </w:p>
    <w:p w14:paraId="77262309" w14:textId="1F442704" w:rsidR="007E32EB" w:rsidRDefault="007E32EB" w:rsidP="007E32EB">
      <w:pPr>
        <w:pStyle w:val="Textkrper"/>
        <w:rPr>
          <w:lang w:val="en-GB"/>
        </w:rPr>
      </w:pPr>
      <w:r w:rsidRPr="007E32EB">
        <w:rPr>
          <w:lang w:val="en-GB"/>
        </w:rPr>
        <w:t xml:space="preserve">The measurements </w:t>
      </w:r>
      <w:r w:rsidR="001E4BD7">
        <w:rPr>
          <w:lang w:val="en-GB"/>
        </w:rPr>
        <w:t>have</w:t>
      </w:r>
      <w:r w:rsidRPr="007E32EB">
        <w:rPr>
          <w:lang w:val="en-GB"/>
        </w:rPr>
        <w:t xml:space="preserve"> start</w:t>
      </w:r>
      <w:r w:rsidR="001E4BD7">
        <w:rPr>
          <w:lang w:val="en-GB"/>
        </w:rPr>
        <w:t>ed in</w:t>
      </w:r>
      <w:r w:rsidRPr="00DF07A2">
        <w:rPr>
          <w:lang w:val="en-GB"/>
        </w:rPr>
        <w:t xml:space="preserve"> </w:t>
      </w:r>
      <w:r w:rsidR="00DF07A2" w:rsidRPr="00DF07A2">
        <w:rPr>
          <w:lang w:val="en-GB"/>
        </w:rPr>
        <w:t xml:space="preserve">November </w:t>
      </w:r>
      <w:r w:rsidR="00D52184">
        <w:rPr>
          <w:lang w:val="en-GB"/>
        </w:rPr>
        <w:t>202</w:t>
      </w:r>
      <w:r w:rsidR="00E72C14">
        <w:rPr>
          <w:lang w:val="en-GB"/>
        </w:rPr>
        <w:t>4</w:t>
      </w:r>
      <w:r w:rsidRPr="007E32EB">
        <w:rPr>
          <w:lang w:val="en-GB"/>
        </w:rPr>
        <w:t xml:space="preserve"> </w:t>
      </w:r>
      <w:r w:rsidR="00D52184">
        <w:rPr>
          <w:lang w:val="en-GB"/>
        </w:rPr>
        <w:t xml:space="preserve">at </w:t>
      </w:r>
      <w:r w:rsidR="00E72C14">
        <w:rPr>
          <w:lang w:val="en-GB"/>
        </w:rPr>
        <w:t>STUK</w:t>
      </w:r>
      <w:r w:rsidR="00D52184">
        <w:rPr>
          <w:lang w:val="en-GB"/>
        </w:rPr>
        <w:t xml:space="preserve"> </w:t>
      </w:r>
      <w:r w:rsidRPr="007E32EB">
        <w:rPr>
          <w:lang w:val="en-GB"/>
        </w:rPr>
        <w:t>and the</w:t>
      </w:r>
      <w:r w:rsidR="00E72C14">
        <w:rPr>
          <w:lang w:val="en-GB"/>
        </w:rPr>
        <w:t xml:space="preserve"> instruments</w:t>
      </w:r>
      <w:r w:rsidR="001E4BD7">
        <w:rPr>
          <w:lang w:val="en-GB"/>
        </w:rPr>
        <w:t xml:space="preserve"> will be</w:t>
      </w:r>
      <w:r w:rsidR="00E72C14">
        <w:rPr>
          <w:lang w:val="en-GB"/>
        </w:rPr>
        <w:t xml:space="preserve"> shipped to NPL</w:t>
      </w:r>
      <w:r w:rsidR="00DF07A2">
        <w:rPr>
          <w:lang w:val="en-GB"/>
        </w:rPr>
        <w:t xml:space="preserve"> in </w:t>
      </w:r>
      <w:r w:rsidR="0090441B">
        <w:rPr>
          <w:lang w:val="en-GB"/>
        </w:rPr>
        <w:t xml:space="preserve">the end of </w:t>
      </w:r>
      <w:r w:rsidR="002970FB">
        <w:rPr>
          <w:lang w:val="en-GB"/>
        </w:rPr>
        <w:t xml:space="preserve">May </w:t>
      </w:r>
      <w:r w:rsidR="00DF07A2">
        <w:rPr>
          <w:lang w:val="en-GB"/>
        </w:rPr>
        <w:t>2025</w:t>
      </w:r>
      <w:r w:rsidR="00E72C14">
        <w:rPr>
          <w:lang w:val="en-GB"/>
        </w:rPr>
        <w:t xml:space="preserve">. NPL is expected to finish measurements within </w:t>
      </w:r>
      <w:r w:rsidR="001E4BD7">
        <w:rPr>
          <w:lang w:val="en-GB"/>
        </w:rPr>
        <w:t>a one</w:t>
      </w:r>
      <w:r w:rsidR="00E72C14">
        <w:rPr>
          <w:lang w:val="en-GB"/>
        </w:rPr>
        <w:t xml:space="preserve"> month. </w:t>
      </w:r>
      <w:r w:rsidR="003511DD">
        <w:rPr>
          <w:lang w:val="en-GB"/>
        </w:rPr>
        <w:t xml:space="preserve"> STUK’s measurement results are from “first round”, after the instruments are returned from NPL, STUK will perform additional stability checks for the instruments. </w:t>
      </w:r>
      <w:r w:rsidRPr="007E32EB">
        <w:rPr>
          <w:lang w:val="en-GB"/>
        </w:rPr>
        <w:t xml:space="preserve">Table </w:t>
      </w:r>
      <w:r w:rsidR="00E72C14">
        <w:rPr>
          <w:lang w:val="en-GB"/>
        </w:rPr>
        <w:t>3</w:t>
      </w:r>
      <w:r w:rsidRPr="007E32EB">
        <w:rPr>
          <w:lang w:val="en-GB"/>
        </w:rPr>
        <w:t xml:space="preserve"> </w:t>
      </w:r>
      <w:r w:rsidR="00A92CA7" w:rsidRPr="007E32EB">
        <w:rPr>
          <w:lang w:val="en-GB"/>
        </w:rPr>
        <w:t>summarises</w:t>
      </w:r>
      <w:r w:rsidRPr="007E32EB">
        <w:rPr>
          <w:lang w:val="en-GB"/>
        </w:rPr>
        <w:t xml:space="preserve"> the proposed schedule of the comparison</w:t>
      </w:r>
      <w:r w:rsidR="005625B8">
        <w:rPr>
          <w:lang w:val="en-GB"/>
        </w:rPr>
        <w:t xml:space="preserve"> measurements and the course of the comparison events.</w:t>
      </w:r>
    </w:p>
    <w:p w14:paraId="150139D4" w14:textId="5BC45CC8" w:rsidR="00836454" w:rsidRDefault="00D52184" w:rsidP="00836454">
      <w:pPr>
        <w:pStyle w:val="Textkrper"/>
        <w:rPr>
          <w:lang w:val="en-GB"/>
        </w:rPr>
      </w:pPr>
      <w:r>
        <w:rPr>
          <w:lang w:val="en-GB"/>
        </w:rPr>
        <w:t xml:space="preserve">Table </w:t>
      </w:r>
      <w:r w:rsidR="00E72C14">
        <w:rPr>
          <w:lang w:val="en-GB"/>
        </w:rPr>
        <w:t>3</w:t>
      </w:r>
      <w:r>
        <w:rPr>
          <w:lang w:val="en-GB"/>
        </w:rPr>
        <w:t xml:space="preserve">. </w:t>
      </w:r>
      <w:r w:rsidR="005625B8">
        <w:rPr>
          <w:lang w:val="en-GB"/>
        </w:rPr>
        <w:t>P</w:t>
      </w:r>
      <w:r>
        <w:rPr>
          <w:lang w:val="en-GB"/>
        </w:rPr>
        <w:t>rosed schedule for the comparison</w:t>
      </w:r>
      <w:r w:rsidR="005625B8">
        <w:rPr>
          <w:lang w:val="en-GB"/>
        </w:rPr>
        <w:t xml:space="preserve"> </w:t>
      </w:r>
      <w:r w:rsidR="00E72C14">
        <w:rPr>
          <w:lang w:val="en-GB"/>
        </w:rPr>
        <w:t>events</w:t>
      </w:r>
      <w:r w:rsidR="005625B8">
        <w:rPr>
          <w:lang w:val="en-GB"/>
        </w:rPr>
        <w:t>.</w:t>
      </w:r>
    </w:p>
    <w:tbl>
      <w:tblPr>
        <w:tblStyle w:val="Tabellenraster"/>
        <w:tblW w:w="8416" w:type="dxa"/>
        <w:tblInd w:w="1271" w:type="dxa"/>
        <w:tblLook w:val="04A0" w:firstRow="1" w:lastRow="0" w:firstColumn="1" w:lastColumn="0" w:noHBand="0" w:noVBand="1"/>
      </w:tblPr>
      <w:tblGrid>
        <w:gridCol w:w="1428"/>
        <w:gridCol w:w="3426"/>
        <w:gridCol w:w="3562"/>
      </w:tblGrid>
      <w:tr w:rsidR="00D52184" w:rsidRPr="00735E58" w14:paraId="5656A868" w14:textId="77777777" w:rsidTr="00AE7A10">
        <w:trPr>
          <w:trHeight w:val="660"/>
        </w:trPr>
        <w:tc>
          <w:tcPr>
            <w:tcW w:w="1428" w:type="dxa"/>
            <w:tcBorders>
              <w:left w:val="nil"/>
              <w:bottom w:val="double" w:sz="4" w:space="0" w:color="auto"/>
            </w:tcBorders>
          </w:tcPr>
          <w:p w14:paraId="613292A5" w14:textId="77777777" w:rsidR="00D52184" w:rsidRPr="00286EB8" w:rsidRDefault="00D52184" w:rsidP="00286EB8">
            <w:pPr>
              <w:jc w:val="center"/>
              <w:rPr>
                <w:b/>
                <w:bCs/>
                <w:lang w:val="en-GB"/>
              </w:rPr>
            </w:pPr>
            <w:r w:rsidRPr="00286EB8">
              <w:rPr>
                <w:b/>
                <w:bCs/>
                <w:lang w:val="en-GB"/>
              </w:rPr>
              <w:t>Institute</w:t>
            </w:r>
          </w:p>
        </w:tc>
        <w:tc>
          <w:tcPr>
            <w:tcW w:w="3426" w:type="dxa"/>
            <w:tcBorders>
              <w:bottom w:val="double" w:sz="4" w:space="0" w:color="auto"/>
            </w:tcBorders>
          </w:tcPr>
          <w:p w14:paraId="6C30A665" w14:textId="15835F2C" w:rsidR="00D52184" w:rsidRPr="00286EB8" w:rsidRDefault="00E72C14" w:rsidP="00286EB8">
            <w:pPr>
              <w:jc w:val="center"/>
              <w:rPr>
                <w:b/>
                <w:bCs/>
                <w:lang w:val="en-GB"/>
              </w:rPr>
            </w:pPr>
            <w:r>
              <w:rPr>
                <w:b/>
                <w:bCs/>
                <w:lang w:val="en-GB"/>
              </w:rPr>
              <w:t>Event</w:t>
            </w:r>
          </w:p>
        </w:tc>
        <w:tc>
          <w:tcPr>
            <w:tcW w:w="3562" w:type="dxa"/>
            <w:tcBorders>
              <w:bottom w:val="double" w:sz="4" w:space="0" w:color="auto"/>
              <w:right w:val="nil"/>
            </w:tcBorders>
          </w:tcPr>
          <w:p w14:paraId="216C6475" w14:textId="2E8F356F" w:rsidR="00D52184" w:rsidRPr="00286EB8" w:rsidRDefault="00D52184" w:rsidP="00286EB8">
            <w:pPr>
              <w:jc w:val="center"/>
              <w:rPr>
                <w:b/>
                <w:bCs/>
                <w:lang w:val="en-GB"/>
              </w:rPr>
            </w:pPr>
            <w:r w:rsidRPr="00286EB8">
              <w:rPr>
                <w:b/>
                <w:bCs/>
                <w:lang w:val="en-GB"/>
              </w:rPr>
              <w:t>D</w:t>
            </w:r>
            <w:r w:rsidR="00E72C14">
              <w:rPr>
                <w:b/>
                <w:bCs/>
                <w:lang w:val="en-GB"/>
              </w:rPr>
              <w:t>ue date</w:t>
            </w:r>
          </w:p>
        </w:tc>
      </w:tr>
      <w:tr w:rsidR="004076B0" w14:paraId="2384E275" w14:textId="77777777" w:rsidTr="00AE7A10">
        <w:trPr>
          <w:trHeight w:val="330"/>
        </w:trPr>
        <w:tc>
          <w:tcPr>
            <w:tcW w:w="1428" w:type="dxa"/>
            <w:tcBorders>
              <w:top w:val="double" w:sz="4" w:space="0" w:color="auto"/>
              <w:left w:val="nil"/>
              <w:bottom w:val="single" w:sz="4" w:space="0" w:color="auto"/>
            </w:tcBorders>
          </w:tcPr>
          <w:p w14:paraId="4FF60A17" w14:textId="0AA4BBF4" w:rsidR="004076B0" w:rsidRDefault="00E72C14" w:rsidP="00286EB8">
            <w:pPr>
              <w:jc w:val="center"/>
              <w:rPr>
                <w:lang w:val="en-GB"/>
              </w:rPr>
            </w:pPr>
            <w:r>
              <w:rPr>
                <w:lang w:val="en-GB"/>
              </w:rPr>
              <w:t>STUK</w:t>
            </w:r>
          </w:p>
        </w:tc>
        <w:tc>
          <w:tcPr>
            <w:tcW w:w="3426" w:type="dxa"/>
            <w:tcBorders>
              <w:top w:val="double" w:sz="4" w:space="0" w:color="auto"/>
              <w:bottom w:val="single" w:sz="4" w:space="0" w:color="auto"/>
            </w:tcBorders>
          </w:tcPr>
          <w:p w14:paraId="2CEE0546" w14:textId="6EE1E21E" w:rsidR="004076B0" w:rsidRDefault="002970FB" w:rsidP="00286EB8">
            <w:pPr>
              <w:jc w:val="center"/>
              <w:rPr>
                <w:lang w:val="en-GB"/>
              </w:rPr>
            </w:pPr>
            <w:r>
              <w:rPr>
                <w:lang w:val="en-GB"/>
              </w:rPr>
              <w:t xml:space="preserve">Finalising </w:t>
            </w:r>
            <w:r w:rsidR="00E72C14">
              <w:rPr>
                <w:lang w:val="en-GB"/>
              </w:rPr>
              <w:t>technical protocol</w:t>
            </w:r>
          </w:p>
        </w:tc>
        <w:tc>
          <w:tcPr>
            <w:tcW w:w="3562" w:type="dxa"/>
            <w:tcBorders>
              <w:top w:val="double" w:sz="4" w:space="0" w:color="auto"/>
              <w:bottom w:val="single" w:sz="4" w:space="0" w:color="auto"/>
              <w:right w:val="nil"/>
            </w:tcBorders>
          </w:tcPr>
          <w:p w14:paraId="424D1E01" w14:textId="1A9145B6" w:rsidR="004076B0" w:rsidRDefault="00AE3355" w:rsidP="00286EB8">
            <w:pPr>
              <w:jc w:val="center"/>
              <w:rPr>
                <w:lang w:val="en-GB"/>
              </w:rPr>
            </w:pPr>
            <w:r>
              <w:rPr>
                <w:lang w:val="en-GB"/>
              </w:rPr>
              <w:t>March</w:t>
            </w:r>
            <w:r w:rsidR="00853B92">
              <w:rPr>
                <w:lang w:val="en-GB"/>
              </w:rPr>
              <w:t xml:space="preserve"> 2025</w:t>
            </w:r>
          </w:p>
        </w:tc>
      </w:tr>
      <w:tr w:rsidR="00D52184" w:rsidRPr="00AB5BAB" w14:paraId="66A019E8" w14:textId="77777777" w:rsidTr="00AE7A10">
        <w:trPr>
          <w:trHeight w:val="330"/>
        </w:trPr>
        <w:tc>
          <w:tcPr>
            <w:tcW w:w="1428" w:type="dxa"/>
            <w:tcBorders>
              <w:top w:val="single" w:sz="4" w:space="0" w:color="auto"/>
              <w:left w:val="nil"/>
            </w:tcBorders>
          </w:tcPr>
          <w:p w14:paraId="558777B2" w14:textId="074EA18B" w:rsidR="00D52184" w:rsidRDefault="00E72C14" w:rsidP="00286EB8">
            <w:pPr>
              <w:jc w:val="center"/>
              <w:rPr>
                <w:lang w:val="en-GB"/>
              </w:rPr>
            </w:pPr>
            <w:r>
              <w:rPr>
                <w:lang w:val="en-GB"/>
              </w:rPr>
              <w:t>STUK</w:t>
            </w:r>
          </w:p>
        </w:tc>
        <w:tc>
          <w:tcPr>
            <w:tcW w:w="3426" w:type="dxa"/>
            <w:tcBorders>
              <w:top w:val="single" w:sz="4" w:space="0" w:color="auto"/>
            </w:tcBorders>
          </w:tcPr>
          <w:p w14:paraId="4907C04E" w14:textId="78F280BA" w:rsidR="00D52184" w:rsidRDefault="00E72C14" w:rsidP="00286EB8">
            <w:pPr>
              <w:jc w:val="center"/>
              <w:rPr>
                <w:lang w:val="en-GB"/>
              </w:rPr>
            </w:pPr>
            <w:r>
              <w:rPr>
                <w:lang w:val="en-GB"/>
              </w:rPr>
              <w:t>Registration of comparison to EURAMET</w:t>
            </w:r>
          </w:p>
        </w:tc>
        <w:tc>
          <w:tcPr>
            <w:tcW w:w="3562" w:type="dxa"/>
            <w:tcBorders>
              <w:top w:val="single" w:sz="4" w:space="0" w:color="auto"/>
              <w:right w:val="nil"/>
            </w:tcBorders>
          </w:tcPr>
          <w:p w14:paraId="4969459B" w14:textId="522C1B9A" w:rsidR="00D52184" w:rsidRDefault="00AE3355" w:rsidP="00286EB8">
            <w:pPr>
              <w:jc w:val="center"/>
              <w:rPr>
                <w:lang w:val="en-GB"/>
              </w:rPr>
            </w:pPr>
            <w:r>
              <w:rPr>
                <w:lang w:val="en-GB"/>
              </w:rPr>
              <w:t>April</w:t>
            </w:r>
            <w:r w:rsidR="004A1329">
              <w:rPr>
                <w:lang w:val="en-GB"/>
              </w:rPr>
              <w:t xml:space="preserve"> 202</w:t>
            </w:r>
            <w:r w:rsidR="00853B92">
              <w:rPr>
                <w:lang w:val="en-GB"/>
              </w:rPr>
              <w:t>5</w:t>
            </w:r>
          </w:p>
        </w:tc>
      </w:tr>
      <w:tr w:rsidR="00D52184" w:rsidRPr="00222152" w14:paraId="3D86BB86" w14:textId="77777777" w:rsidTr="0071033C">
        <w:trPr>
          <w:trHeight w:val="330"/>
        </w:trPr>
        <w:tc>
          <w:tcPr>
            <w:tcW w:w="1428" w:type="dxa"/>
            <w:tcBorders>
              <w:left w:val="nil"/>
            </w:tcBorders>
          </w:tcPr>
          <w:p w14:paraId="270EC7E1" w14:textId="6A1C4C84" w:rsidR="00D52184" w:rsidRDefault="00E72C14" w:rsidP="00286EB8">
            <w:pPr>
              <w:jc w:val="center"/>
              <w:rPr>
                <w:lang w:val="en-GB"/>
              </w:rPr>
            </w:pPr>
            <w:r>
              <w:rPr>
                <w:lang w:val="en-GB"/>
              </w:rPr>
              <w:t>STUK</w:t>
            </w:r>
          </w:p>
        </w:tc>
        <w:tc>
          <w:tcPr>
            <w:tcW w:w="3426" w:type="dxa"/>
          </w:tcPr>
          <w:p w14:paraId="7D16BA1B" w14:textId="39FA0E90" w:rsidR="00D52184" w:rsidRDefault="00E72C14" w:rsidP="00286EB8">
            <w:pPr>
              <w:jc w:val="center"/>
              <w:rPr>
                <w:lang w:val="en-GB"/>
              </w:rPr>
            </w:pPr>
            <w:r>
              <w:rPr>
                <w:lang w:val="en-GB"/>
              </w:rPr>
              <w:t xml:space="preserve">Measurements, results to </w:t>
            </w:r>
            <w:r w:rsidR="008D1240">
              <w:rPr>
                <w:lang w:val="en-GB"/>
              </w:rPr>
              <w:t>CCRI executive secretary</w:t>
            </w:r>
          </w:p>
        </w:tc>
        <w:tc>
          <w:tcPr>
            <w:tcW w:w="3562" w:type="dxa"/>
            <w:tcBorders>
              <w:right w:val="nil"/>
            </w:tcBorders>
          </w:tcPr>
          <w:p w14:paraId="6BEEA6ED" w14:textId="0C320F15" w:rsidR="00D52184" w:rsidRDefault="000952BE" w:rsidP="00286EB8">
            <w:pPr>
              <w:jc w:val="center"/>
              <w:rPr>
                <w:lang w:val="en-GB"/>
              </w:rPr>
            </w:pPr>
            <w:r>
              <w:rPr>
                <w:lang w:val="en-GB"/>
              </w:rPr>
              <w:t xml:space="preserve">within </w:t>
            </w:r>
            <w:r w:rsidR="008D1240">
              <w:rPr>
                <w:lang w:val="en-GB"/>
              </w:rPr>
              <w:t>3</w:t>
            </w:r>
            <w:r>
              <w:rPr>
                <w:lang w:val="en-GB"/>
              </w:rPr>
              <w:t xml:space="preserve"> weeks after measurements</w:t>
            </w:r>
          </w:p>
        </w:tc>
      </w:tr>
      <w:tr w:rsidR="00D52184" w:rsidRPr="00AB5BAB" w14:paraId="66754A54" w14:textId="77777777" w:rsidTr="0071033C">
        <w:trPr>
          <w:trHeight w:val="330"/>
        </w:trPr>
        <w:tc>
          <w:tcPr>
            <w:tcW w:w="1428" w:type="dxa"/>
            <w:tcBorders>
              <w:left w:val="nil"/>
            </w:tcBorders>
          </w:tcPr>
          <w:p w14:paraId="74D4CD08" w14:textId="291D6015" w:rsidR="00D52184" w:rsidRDefault="00D52184" w:rsidP="00286EB8">
            <w:pPr>
              <w:jc w:val="center"/>
              <w:rPr>
                <w:lang w:val="en-GB"/>
              </w:rPr>
            </w:pPr>
            <w:r>
              <w:rPr>
                <w:lang w:val="en-GB"/>
              </w:rPr>
              <w:t>STUK</w:t>
            </w:r>
          </w:p>
        </w:tc>
        <w:tc>
          <w:tcPr>
            <w:tcW w:w="3426" w:type="dxa"/>
          </w:tcPr>
          <w:p w14:paraId="22CAA571" w14:textId="5593CDD9" w:rsidR="00D52184" w:rsidRDefault="00E72C14" w:rsidP="00286EB8">
            <w:pPr>
              <w:jc w:val="center"/>
              <w:rPr>
                <w:lang w:val="en-GB"/>
              </w:rPr>
            </w:pPr>
            <w:r>
              <w:rPr>
                <w:lang w:val="en-GB"/>
              </w:rPr>
              <w:t>Shipment of instruments to NPL</w:t>
            </w:r>
          </w:p>
        </w:tc>
        <w:tc>
          <w:tcPr>
            <w:tcW w:w="3562" w:type="dxa"/>
            <w:tcBorders>
              <w:right w:val="nil"/>
            </w:tcBorders>
          </w:tcPr>
          <w:p w14:paraId="5339AB81" w14:textId="0D375F8A" w:rsidR="00D52184" w:rsidRPr="004A1329" w:rsidRDefault="00B11A49" w:rsidP="00286EB8">
            <w:pPr>
              <w:jc w:val="center"/>
              <w:rPr>
                <w:color w:val="FF0000"/>
                <w:lang w:val="en-GB"/>
              </w:rPr>
            </w:pPr>
            <w:r>
              <w:rPr>
                <w:lang w:val="en-GB"/>
              </w:rPr>
              <w:t xml:space="preserve">End of </w:t>
            </w:r>
            <w:r w:rsidR="00853B92">
              <w:rPr>
                <w:lang w:val="en-GB"/>
              </w:rPr>
              <w:t>May</w:t>
            </w:r>
            <w:r w:rsidR="004A1329" w:rsidRPr="00DF07A2">
              <w:rPr>
                <w:lang w:val="en-GB"/>
              </w:rPr>
              <w:t xml:space="preserve"> 2025</w:t>
            </w:r>
          </w:p>
        </w:tc>
      </w:tr>
      <w:tr w:rsidR="00D52184" w:rsidRPr="00C66B27" w14:paraId="3E964F1F" w14:textId="77777777" w:rsidTr="0071033C">
        <w:trPr>
          <w:trHeight w:val="330"/>
        </w:trPr>
        <w:tc>
          <w:tcPr>
            <w:tcW w:w="1428" w:type="dxa"/>
            <w:tcBorders>
              <w:left w:val="nil"/>
            </w:tcBorders>
          </w:tcPr>
          <w:p w14:paraId="3CB169E2" w14:textId="0F3FA811" w:rsidR="00D52184" w:rsidRDefault="00E72C14" w:rsidP="00286EB8">
            <w:pPr>
              <w:jc w:val="center"/>
              <w:rPr>
                <w:lang w:val="en-GB"/>
              </w:rPr>
            </w:pPr>
            <w:r>
              <w:rPr>
                <w:lang w:val="en-GB"/>
              </w:rPr>
              <w:lastRenderedPageBreak/>
              <w:t>NPL</w:t>
            </w:r>
          </w:p>
        </w:tc>
        <w:tc>
          <w:tcPr>
            <w:tcW w:w="3426" w:type="dxa"/>
          </w:tcPr>
          <w:p w14:paraId="7D37D61E" w14:textId="1A84F87C" w:rsidR="00D52184" w:rsidRDefault="00E72C14" w:rsidP="00286EB8">
            <w:pPr>
              <w:jc w:val="center"/>
              <w:rPr>
                <w:lang w:val="en-GB"/>
              </w:rPr>
            </w:pPr>
            <w:r>
              <w:rPr>
                <w:lang w:val="en-GB"/>
              </w:rPr>
              <w:t>Measurements</w:t>
            </w:r>
          </w:p>
        </w:tc>
        <w:tc>
          <w:tcPr>
            <w:tcW w:w="3562" w:type="dxa"/>
            <w:tcBorders>
              <w:right w:val="nil"/>
            </w:tcBorders>
          </w:tcPr>
          <w:p w14:paraId="621E46FD" w14:textId="21ACC936" w:rsidR="00D52184" w:rsidRDefault="00853B92" w:rsidP="00E72C14">
            <w:pPr>
              <w:jc w:val="center"/>
              <w:rPr>
                <w:lang w:val="en-GB"/>
              </w:rPr>
            </w:pPr>
            <w:r>
              <w:rPr>
                <w:lang w:val="en-GB"/>
              </w:rPr>
              <w:t>June 2025</w:t>
            </w:r>
          </w:p>
        </w:tc>
      </w:tr>
      <w:tr w:rsidR="00D52184" w:rsidRPr="00FD0B59" w14:paraId="61C63F20" w14:textId="77777777" w:rsidTr="0071033C">
        <w:trPr>
          <w:trHeight w:val="330"/>
        </w:trPr>
        <w:tc>
          <w:tcPr>
            <w:tcW w:w="1428" w:type="dxa"/>
            <w:tcBorders>
              <w:left w:val="nil"/>
            </w:tcBorders>
          </w:tcPr>
          <w:p w14:paraId="08077728" w14:textId="6419E515" w:rsidR="00D52184" w:rsidRDefault="00E72C14" w:rsidP="00286EB8">
            <w:pPr>
              <w:jc w:val="center"/>
              <w:rPr>
                <w:lang w:val="en-GB"/>
              </w:rPr>
            </w:pPr>
            <w:r>
              <w:rPr>
                <w:lang w:val="en-GB"/>
              </w:rPr>
              <w:t>NPL</w:t>
            </w:r>
          </w:p>
        </w:tc>
        <w:tc>
          <w:tcPr>
            <w:tcW w:w="3426" w:type="dxa"/>
          </w:tcPr>
          <w:p w14:paraId="2173006A" w14:textId="05F2C02D" w:rsidR="00D52184" w:rsidRDefault="00E72C14" w:rsidP="00286EB8">
            <w:pPr>
              <w:jc w:val="center"/>
              <w:rPr>
                <w:lang w:val="en-GB"/>
              </w:rPr>
            </w:pPr>
            <w:r>
              <w:rPr>
                <w:lang w:val="en-GB"/>
              </w:rPr>
              <w:t>Shipment of instruments to STUK</w:t>
            </w:r>
          </w:p>
        </w:tc>
        <w:tc>
          <w:tcPr>
            <w:tcW w:w="3562" w:type="dxa"/>
            <w:tcBorders>
              <w:right w:val="nil"/>
            </w:tcBorders>
          </w:tcPr>
          <w:p w14:paraId="53E3B5E7" w14:textId="76BF674C" w:rsidR="00D52184" w:rsidRDefault="00853B92" w:rsidP="00286EB8">
            <w:pPr>
              <w:jc w:val="center"/>
              <w:rPr>
                <w:lang w:val="en-GB"/>
              </w:rPr>
            </w:pPr>
            <w:r>
              <w:rPr>
                <w:lang w:val="en-GB"/>
              </w:rPr>
              <w:t>June 2025</w:t>
            </w:r>
          </w:p>
        </w:tc>
      </w:tr>
      <w:tr w:rsidR="00853B92" w:rsidRPr="00FD0B59" w14:paraId="78EA5228" w14:textId="77777777" w:rsidTr="0071033C">
        <w:trPr>
          <w:trHeight w:val="330"/>
        </w:trPr>
        <w:tc>
          <w:tcPr>
            <w:tcW w:w="1428" w:type="dxa"/>
            <w:tcBorders>
              <w:left w:val="nil"/>
            </w:tcBorders>
          </w:tcPr>
          <w:p w14:paraId="374F2924" w14:textId="6ED2F901" w:rsidR="00853B92" w:rsidRDefault="00853B92" w:rsidP="00286EB8">
            <w:pPr>
              <w:jc w:val="center"/>
              <w:rPr>
                <w:lang w:val="en-GB"/>
              </w:rPr>
            </w:pPr>
            <w:r>
              <w:rPr>
                <w:lang w:val="en-GB"/>
              </w:rPr>
              <w:t>STUK</w:t>
            </w:r>
          </w:p>
        </w:tc>
        <w:tc>
          <w:tcPr>
            <w:tcW w:w="3426" w:type="dxa"/>
          </w:tcPr>
          <w:p w14:paraId="72EA221E" w14:textId="4E529393" w:rsidR="00853B92" w:rsidRDefault="00853B92" w:rsidP="00286EB8">
            <w:pPr>
              <w:jc w:val="center"/>
              <w:rPr>
                <w:lang w:val="en-GB"/>
              </w:rPr>
            </w:pPr>
            <w:r>
              <w:rPr>
                <w:lang w:val="en-GB"/>
              </w:rPr>
              <w:t>Stability check of instruments</w:t>
            </w:r>
          </w:p>
        </w:tc>
        <w:tc>
          <w:tcPr>
            <w:tcW w:w="3562" w:type="dxa"/>
            <w:tcBorders>
              <w:right w:val="nil"/>
            </w:tcBorders>
          </w:tcPr>
          <w:p w14:paraId="1B2BC326" w14:textId="70BB5758" w:rsidR="00853B92" w:rsidRDefault="00853B92" w:rsidP="00286EB8">
            <w:pPr>
              <w:jc w:val="center"/>
              <w:rPr>
                <w:lang w:val="en-GB"/>
              </w:rPr>
            </w:pPr>
            <w:r>
              <w:rPr>
                <w:lang w:val="en-GB"/>
              </w:rPr>
              <w:t>July 2025</w:t>
            </w:r>
          </w:p>
        </w:tc>
      </w:tr>
      <w:tr w:rsidR="002A6E7C" w14:paraId="42406B20" w14:textId="77777777" w:rsidTr="0071033C">
        <w:trPr>
          <w:trHeight w:val="330"/>
        </w:trPr>
        <w:tc>
          <w:tcPr>
            <w:tcW w:w="1428" w:type="dxa"/>
            <w:tcBorders>
              <w:left w:val="nil"/>
            </w:tcBorders>
          </w:tcPr>
          <w:p w14:paraId="101BAC15" w14:textId="34FF2AA0" w:rsidR="002A6E7C" w:rsidRDefault="00E72C14" w:rsidP="00286EB8">
            <w:pPr>
              <w:jc w:val="center"/>
              <w:rPr>
                <w:lang w:val="en-GB"/>
              </w:rPr>
            </w:pPr>
            <w:r>
              <w:rPr>
                <w:lang w:val="en-GB"/>
              </w:rPr>
              <w:t>NPL</w:t>
            </w:r>
          </w:p>
        </w:tc>
        <w:tc>
          <w:tcPr>
            <w:tcW w:w="3426" w:type="dxa"/>
          </w:tcPr>
          <w:p w14:paraId="10A560B9" w14:textId="244FCEF1" w:rsidR="002A6E7C" w:rsidRDefault="00E72C14" w:rsidP="00286EB8">
            <w:pPr>
              <w:jc w:val="center"/>
              <w:rPr>
                <w:lang w:val="en-GB"/>
              </w:rPr>
            </w:pPr>
            <w:r>
              <w:rPr>
                <w:lang w:val="en-GB"/>
              </w:rPr>
              <w:t xml:space="preserve">Results to </w:t>
            </w:r>
            <w:r w:rsidR="000952BE">
              <w:rPr>
                <w:lang w:val="en-GB"/>
              </w:rPr>
              <w:t>STUK</w:t>
            </w:r>
          </w:p>
        </w:tc>
        <w:tc>
          <w:tcPr>
            <w:tcW w:w="3562" w:type="dxa"/>
            <w:tcBorders>
              <w:right w:val="nil"/>
            </w:tcBorders>
          </w:tcPr>
          <w:p w14:paraId="337C4A70" w14:textId="2E687A5D" w:rsidR="002A6E7C" w:rsidRDefault="00E72C14" w:rsidP="00286EB8">
            <w:pPr>
              <w:jc w:val="center"/>
              <w:rPr>
                <w:lang w:val="en-GB"/>
              </w:rPr>
            </w:pPr>
            <w:r>
              <w:rPr>
                <w:lang w:val="en-GB"/>
              </w:rPr>
              <w:t>within 6 weeks after measurements</w:t>
            </w:r>
          </w:p>
        </w:tc>
      </w:tr>
      <w:tr w:rsidR="00A845B0" w14:paraId="46B2148D" w14:textId="77777777" w:rsidTr="0071033C">
        <w:trPr>
          <w:trHeight w:val="311"/>
        </w:trPr>
        <w:tc>
          <w:tcPr>
            <w:tcW w:w="1428" w:type="dxa"/>
            <w:tcBorders>
              <w:left w:val="nil"/>
            </w:tcBorders>
          </w:tcPr>
          <w:p w14:paraId="7F3E43D8" w14:textId="57FDAB86" w:rsidR="00A845B0" w:rsidRDefault="00E72C14" w:rsidP="00286EB8">
            <w:pPr>
              <w:jc w:val="center"/>
              <w:rPr>
                <w:lang w:val="en-GB"/>
              </w:rPr>
            </w:pPr>
            <w:r>
              <w:rPr>
                <w:lang w:val="en-GB"/>
              </w:rPr>
              <w:t>STUK</w:t>
            </w:r>
          </w:p>
        </w:tc>
        <w:tc>
          <w:tcPr>
            <w:tcW w:w="3426" w:type="dxa"/>
          </w:tcPr>
          <w:p w14:paraId="12BDA15E" w14:textId="27A3A7E8" w:rsidR="00A845B0" w:rsidRDefault="00E72C14" w:rsidP="00286EB8">
            <w:pPr>
              <w:jc w:val="center"/>
              <w:rPr>
                <w:lang w:val="en-GB"/>
              </w:rPr>
            </w:pPr>
            <w:r>
              <w:rPr>
                <w:lang w:val="en-GB"/>
              </w:rPr>
              <w:t>Data analysis, Draft A</w:t>
            </w:r>
          </w:p>
        </w:tc>
        <w:tc>
          <w:tcPr>
            <w:tcW w:w="3562" w:type="dxa"/>
            <w:tcBorders>
              <w:right w:val="nil"/>
            </w:tcBorders>
          </w:tcPr>
          <w:p w14:paraId="0FE45C35" w14:textId="471DD054" w:rsidR="00A845B0" w:rsidRDefault="00E72C14" w:rsidP="00286EB8">
            <w:pPr>
              <w:jc w:val="center"/>
              <w:rPr>
                <w:lang w:val="en-GB"/>
              </w:rPr>
            </w:pPr>
            <w:r>
              <w:rPr>
                <w:lang w:val="en-GB"/>
              </w:rPr>
              <w:t>within 2 months</w:t>
            </w:r>
          </w:p>
        </w:tc>
      </w:tr>
      <w:tr w:rsidR="00D52184" w:rsidRPr="00735E58" w14:paraId="05D99D10" w14:textId="77777777" w:rsidTr="0071033C">
        <w:trPr>
          <w:trHeight w:val="330"/>
        </w:trPr>
        <w:tc>
          <w:tcPr>
            <w:tcW w:w="1428" w:type="dxa"/>
            <w:tcBorders>
              <w:left w:val="nil"/>
            </w:tcBorders>
          </w:tcPr>
          <w:p w14:paraId="3DA1B94B" w14:textId="1EECC663" w:rsidR="00D52184" w:rsidRDefault="00E72C14" w:rsidP="00286EB8">
            <w:pPr>
              <w:jc w:val="center"/>
              <w:rPr>
                <w:lang w:val="en-GB"/>
              </w:rPr>
            </w:pPr>
            <w:r>
              <w:rPr>
                <w:lang w:val="en-GB"/>
              </w:rPr>
              <w:t>NPL</w:t>
            </w:r>
          </w:p>
        </w:tc>
        <w:tc>
          <w:tcPr>
            <w:tcW w:w="3426" w:type="dxa"/>
          </w:tcPr>
          <w:p w14:paraId="004E566E" w14:textId="172B992A" w:rsidR="00D52184" w:rsidRDefault="00E72C14" w:rsidP="00286EB8">
            <w:pPr>
              <w:jc w:val="center"/>
              <w:rPr>
                <w:lang w:val="en-GB"/>
              </w:rPr>
            </w:pPr>
            <w:r>
              <w:rPr>
                <w:lang w:val="en-GB"/>
              </w:rPr>
              <w:t>Comments to Draft A</w:t>
            </w:r>
          </w:p>
        </w:tc>
        <w:tc>
          <w:tcPr>
            <w:tcW w:w="3562" w:type="dxa"/>
            <w:tcBorders>
              <w:right w:val="nil"/>
            </w:tcBorders>
          </w:tcPr>
          <w:p w14:paraId="585667D1" w14:textId="630FA03B" w:rsidR="00D52184" w:rsidRDefault="00E72C14" w:rsidP="00286EB8">
            <w:pPr>
              <w:jc w:val="center"/>
              <w:rPr>
                <w:lang w:val="en-GB"/>
              </w:rPr>
            </w:pPr>
            <w:r>
              <w:rPr>
                <w:lang w:val="en-GB"/>
              </w:rPr>
              <w:t>within 1 month</w:t>
            </w:r>
          </w:p>
        </w:tc>
      </w:tr>
      <w:tr w:rsidR="00E72C14" w:rsidRPr="00F22322" w14:paraId="71CF2AC5" w14:textId="77777777" w:rsidTr="0071033C">
        <w:trPr>
          <w:trHeight w:val="330"/>
        </w:trPr>
        <w:tc>
          <w:tcPr>
            <w:tcW w:w="1428" w:type="dxa"/>
            <w:tcBorders>
              <w:left w:val="nil"/>
            </w:tcBorders>
          </w:tcPr>
          <w:p w14:paraId="6CFDEA80" w14:textId="110C0E2F" w:rsidR="00E72C14" w:rsidRDefault="00E72C14" w:rsidP="00286EB8">
            <w:pPr>
              <w:jc w:val="center"/>
              <w:rPr>
                <w:lang w:val="en-GB"/>
              </w:rPr>
            </w:pPr>
            <w:r>
              <w:rPr>
                <w:lang w:val="en-GB"/>
              </w:rPr>
              <w:t>STUK</w:t>
            </w:r>
          </w:p>
        </w:tc>
        <w:tc>
          <w:tcPr>
            <w:tcW w:w="3426" w:type="dxa"/>
          </w:tcPr>
          <w:p w14:paraId="641A1E7E" w14:textId="5ED7AC0D" w:rsidR="00E72C14" w:rsidRDefault="00E72C14" w:rsidP="00286EB8">
            <w:pPr>
              <w:jc w:val="center"/>
              <w:rPr>
                <w:lang w:val="en-GB"/>
              </w:rPr>
            </w:pPr>
            <w:r>
              <w:rPr>
                <w:lang w:val="en-GB"/>
              </w:rPr>
              <w:t>Draft B available</w:t>
            </w:r>
          </w:p>
        </w:tc>
        <w:tc>
          <w:tcPr>
            <w:tcW w:w="3562" w:type="dxa"/>
            <w:tcBorders>
              <w:right w:val="nil"/>
            </w:tcBorders>
          </w:tcPr>
          <w:p w14:paraId="5910BA7D" w14:textId="3A3A66F9" w:rsidR="00E72C14" w:rsidRDefault="00E72C14" w:rsidP="00286EB8">
            <w:pPr>
              <w:jc w:val="center"/>
              <w:rPr>
                <w:lang w:val="en-GB"/>
              </w:rPr>
            </w:pPr>
            <w:r>
              <w:rPr>
                <w:lang w:val="en-GB"/>
              </w:rPr>
              <w:t>within 1 month after NPL comments</w:t>
            </w:r>
          </w:p>
        </w:tc>
      </w:tr>
    </w:tbl>
    <w:p w14:paraId="7A7506D2" w14:textId="77777777" w:rsidR="00D44BB9" w:rsidRDefault="00D44BB9" w:rsidP="00836454">
      <w:pPr>
        <w:pStyle w:val="Textkrper"/>
        <w:rPr>
          <w:lang w:val="en-GB"/>
        </w:rPr>
      </w:pPr>
    </w:p>
    <w:p w14:paraId="48159FE7" w14:textId="77777777" w:rsidR="00660A3E" w:rsidRDefault="00660A3E" w:rsidP="00836454">
      <w:pPr>
        <w:pStyle w:val="Textkrper"/>
        <w:rPr>
          <w:lang w:val="en-GB"/>
        </w:rPr>
      </w:pPr>
    </w:p>
    <w:p w14:paraId="7CCEB11B" w14:textId="225935AE" w:rsidR="00836454" w:rsidRDefault="00836454" w:rsidP="00836454">
      <w:pPr>
        <w:pStyle w:val="berschrift1"/>
        <w:rPr>
          <w:lang w:val="en-GB"/>
        </w:rPr>
      </w:pPr>
      <w:bookmarkStart w:id="17" w:name="_Toc179201991"/>
      <w:r>
        <w:rPr>
          <w:lang w:val="en-GB"/>
        </w:rPr>
        <w:t>References</w:t>
      </w:r>
      <w:bookmarkEnd w:id="17"/>
    </w:p>
    <w:p w14:paraId="7B2B3665" w14:textId="6702B635" w:rsidR="009C4EE5" w:rsidRPr="009C4EE5" w:rsidRDefault="009C4EE5" w:rsidP="00F22322">
      <w:pPr>
        <w:pStyle w:val="Textkrper"/>
        <w:spacing w:after="0"/>
        <w:rPr>
          <w:lang w:val="en-GB"/>
        </w:rPr>
      </w:pPr>
      <w:r w:rsidRPr="009C4EE5">
        <w:rPr>
          <w:lang w:val="en-GB"/>
        </w:rPr>
        <w:t>CIPM MRA-G-11</w:t>
      </w:r>
      <w:r>
        <w:rPr>
          <w:lang w:val="en-GB"/>
        </w:rPr>
        <w:t xml:space="preserve">, </w:t>
      </w:r>
      <w:r w:rsidRPr="009C4EE5">
        <w:rPr>
          <w:lang w:val="en-GB"/>
        </w:rPr>
        <w:t>Measurement comparisons in the CIPM MRA</w:t>
      </w:r>
    </w:p>
    <w:p w14:paraId="667CA062" w14:textId="77777777" w:rsidR="00480D5E" w:rsidRDefault="009C4EE5" w:rsidP="00F22322">
      <w:pPr>
        <w:pStyle w:val="Textkrper"/>
        <w:spacing w:after="0"/>
        <w:rPr>
          <w:lang w:val="en-GB"/>
        </w:rPr>
      </w:pPr>
      <w:r w:rsidRPr="009C4EE5">
        <w:rPr>
          <w:lang w:val="en-GB"/>
        </w:rPr>
        <w:t>Guidelines for organizing, participating and reporting</w:t>
      </w:r>
      <w:r>
        <w:rPr>
          <w:lang w:val="en-GB"/>
        </w:rPr>
        <w:t xml:space="preserve">, version 1.1, 18/01/2021 </w:t>
      </w:r>
    </w:p>
    <w:p w14:paraId="7E5DBC64" w14:textId="208E00AB" w:rsidR="009C4EE5" w:rsidRDefault="00480D5E" w:rsidP="00F22322">
      <w:pPr>
        <w:ind w:left="1229"/>
        <w:rPr>
          <w:lang w:val="en-GB"/>
        </w:rPr>
      </w:pPr>
      <w:hyperlink w:history="1">
        <w:r w:rsidRPr="00472E23">
          <w:rPr>
            <w:rStyle w:val="Hyperlink"/>
            <w:lang w:val="en-GB"/>
          </w:rPr>
          <w:t>https://www.bipm.org/documents/20126/43742162/CIPM-MRA-G-11.pdf/9fe6fb9a-500c-9995-2911-342f8126226c</w:t>
        </w:r>
      </w:hyperlink>
    </w:p>
    <w:p w14:paraId="592F2675" w14:textId="77777777" w:rsidR="009C4EE5" w:rsidRPr="009C4EE5" w:rsidRDefault="009C4EE5" w:rsidP="00F22322">
      <w:pPr>
        <w:pStyle w:val="Textkrper"/>
        <w:spacing w:after="0"/>
        <w:rPr>
          <w:lang w:val="en-GB"/>
        </w:rPr>
      </w:pPr>
    </w:p>
    <w:p w14:paraId="36BFE4A1" w14:textId="4A6DC9E2" w:rsidR="00D15F17" w:rsidRDefault="00D15F17" w:rsidP="00F22322">
      <w:pPr>
        <w:pStyle w:val="Textkrper"/>
        <w:spacing w:after="0"/>
        <w:rPr>
          <w:rFonts w:cs="Times New Roman"/>
          <w:color w:val="000000"/>
          <w:lang w:val="en-US"/>
        </w:rPr>
      </w:pPr>
      <w:r>
        <w:rPr>
          <w:rFonts w:cs="Times New Roman"/>
          <w:color w:val="000000"/>
          <w:lang w:val="en-US"/>
        </w:rPr>
        <w:t>ISO – international Organization for Standardization:</w:t>
      </w:r>
    </w:p>
    <w:p w14:paraId="6CA1E99D" w14:textId="6768B3A0" w:rsidR="00305FDE" w:rsidRDefault="00305FDE" w:rsidP="00F22322">
      <w:pPr>
        <w:pStyle w:val="Textkrper"/>
        <w:spacing w:after="0"/>
        <w:rPr>
          <w:rFonts w:cs="Times New Roman"/>
          <w:color w:val="000000"/>
          <w:lang w:val="en-US"/>
        </w:rPr>
      </w:pPr>
      <w:r w:rsidRPr="00BE5124">
        <w:rPr>
          <w:rFonts w:cs="Times New Roman"/>
          <w:color w:val="000000"/>
          <w:lang w:val="en-US"/>
        </w:rPr>
        <w:t>ISO 8529</w:t>
      </w:r>
      <w:r>
        <w:rPr>
          <w:rFonts w:cs="Times New Roman"/>
          <w:color w:val="000000"/>
          <w:lang w:val="en-US"/>
        </w:rPr>
        <w:t>-1:2021</w:t>
      </w:r>
      <w:r w:rsidR="00D15F17">
        <w:rPr>
          <w:rFonts w:cs="Times New Roman"/>
          <w:color w:val="000000"/>
          <w:lang w:val="en-US"/>
        </w:rPr>
        <w:t xml:space="preserve"> Neutron reference radiation fields. </w:t>
      </w:r>
      <w:r w:rsidR="00D15F17" w:rsidRPr="00D15F17">
        <w:rPr>
          <w:rFonts w:cs="Times New Roman"/>
          <w:color w:val="000000"/>
          <w:lang w:val="en-US"/>
        </w:rPr>
        <w:t>Part 1: Characteristics and methods of production</w:t>
      </w:r>
    </w:p>
    <w:p w14:paraId="4F73C276" w14:textId="77777777" w:rsidR="0097284B" w:rsidRDefault="0097284B" w:rsidP="00F22322">
      <w:pPr>
        <w:pStyle w:val="Textkrper"/>
        <w:spacing w:after="0"/>
        <w:rPr>
          <w:rFonts w:cs="Times New Roman"/>
          <w:color w:val="000000"/>
          <w:lang w:val="en-US"/>
        </w:rPr>
      </w:pPr>
    </w:p>
    <w:p w14:paraId="1A8C13AA" w14:textId="31D83B9D" w:rsidR="00305FDE" w:rsidRDefault="00305FDE" w:rsidP="00F22322">
      <w:pPr>
        <w:pStyle w:val="Textkrper"/>
        <w:spacing w:after="0"/>
        <w:rPr>
          <w:rFonts w:cs="Times New Roman"/>
          <w:color w:val="000000"/>
          <w:lang w:val="en-US"/>
        </w:rPr>
      </w:pPr>
      <w:r w:rsidRPr="00BE5124">
        <w:rPr>
          <w:rFonts w:cs="Times New Roman"/>
          <w:color w:val="000000"/>
          <w:lang w:val="en-US"/>
        </w:rPr>
        <w:t>ISO 8529</w:t>
      </w:r>
      <w:r>
        <w:rPr>
          <w:rFonts w:cs="Times New Roman"/>
          <w:color w:val="000000"/>
          <w:lang w:val="en-US"/>
        </w:rPr>
        <w:t>-2:2000</w:t>
      </w:r>
      <w:r w:rsidR="00D15F17">
        <w:rPr>
          <w:rFonts w:cs="Times New Roman"/>
          <w:color w:val="000000"/>
          <w:lang w:val="en-US"/>
        </w:rPr>
        <w:t xml:space="preserve"> Reference neutron radiations. </w:t>
      </w:r>
      <w:r w:rsidR="00D15F17" w:rsidRPr="00D15F17">
        <w:rPr>
          <w:rFonts w:cs="Times New Roman"/>
          <w:color w:val="000000"/>
          <w:lang w:val="en-US"/>
        </w:rPr>
        <w:t>Part 2: Calibration fundamentals of radiation protection devices related to the basic quantities characterizing the radiation field</w:t>
      </w:r>
    </w:p>
    <w:p w14:paraId="7BA8B319" w14:textId="77777777" w:rsidR="0097284B" w:rsidRDefault="0097284B" w:rsidP="00F22322">
      <w:pPr>
        <w:pStyle w:val="Textkrper"/>
        <w:spacing w:after="0"/>
        <w:rPr>
          <w:rFonts w:cs="Times New Roman"/>
          <w:color w:val="000000"/>
          <w:lang w:val="en-US"/>
        </w:rPr>
      </w:pPr>
    </w:p>
    <w:p w14:paraId="0ADB1C54" w14:textId="124BA940" w:rsidR="00305FDE" w:rsidRDefault="00305FDE" w:rsidP="00F22322">
      <w:pPr>
        <w:pStyle w:val="Textkrper"/>
        <w:spacing w:after="0"/>
        <w:rPr>
          <w:rFonts w:cs="Times New Roman"/>
          <w:color w:val="000000"/>
          <w:lang w:val="en-US"/>
        </w:rPr>
      </w:pPr>
      <w:r w:rsidRPr="00BE5124">
        <w:rPr>
          <w:rFonts w:cs="Times New Roman"/>
          <w:color w:val="000000"/>
          <w:lang w:val="en-US"/>
        </w:rPr>
        <w:t>ISO 8529</w:t>
      </w:r>
      <w:r>
        <w:rPr>
          <w:rFonts w:cs="Times New Roman"/>
          <w:color w:val="000000"/>
          <w:lang w:val="en-US"/>
        </w:rPr>
        <w:t>-3:2023</w:t>
      </w:r>
      <w:r w:rsidR="00D15F17">
        <w:rPr>
          <w:rFonts w:cs="Times New Roman"/>
          <w:color w:val="000000"/>
          <w:lang w:val="en-US"/>
        </w:rPr>
        <w:t xml:space="preserve"> Neutron reference radiation fields. </w:t>
      </w:r>
      <w:r w:rsidR="00D15F17" w:rsidRPr="00D15F17">
        <w:rPr>
          <w:rFonts w:cs="Times New Roman"/>
          <w:color w:val="000000"/>
          <w:lang w:val="en-US"/>
        </w:rPr>
        <w:t>Part 3: Calibration of area and</w:t>
      </w:r>
      <w:r w:rsidR="00D15F17">
        <w:rPr>
          <w:rFonts w:cs="Times New Roman"/>
          <w:color w:val="000000"/>
          <w:lang w:val="en-US"/>
        </w:rPr>
        <w:t xml:space="preserve"> </w:t>
      </w:r>
      <w:r w:rsidR="00D15F17" w:rsidRPr="00D15F17">
        <w:rPr>
          <w:rFonts w:cs="Times New Roman"/>
          <w:color w:val="000000"/>
          <w:lang w:val="en-US"/>
        </w:rPr>
        <w:t>personal dosemeters and determination of their response as a function of neutron energy and angle of incidence</w:t>
      </w:r>
    </w:p>
    <w:p w14:paraId="78D5C882" w14:textId="12DA8581" w:rsidR="00315324" w:rsidRDefault="00315324" w:rsidP="00F22322">
      <w:pPr>
        <w:pStyle w:val="Textkrper"/>
        <w:spacing w:after="0"/>
        <w:rPr>
          <w:lang w:val="en-US"/>
        </w:rPr>
      </w:pPr>
    </w:p>
    <w:p w14:paraId="69AE5CAB" w14:textId="65EE7ED9" w:rsidR="006C034A" w:rsidRPr="00BE5124" w:rsidRDefault="00F6435D" w:rsidP="00F22322">
      <w:pPr>
        <w:pStyle w:val="Textkrper"/>
        <w:spacing w:after="0"/>
        <w:rPr>
          <w:lang w:val="en-US"/>
        </w:rPr>
      </w:pPr>
      <w:r w:rsidRPr="00305FDE">
        <w:rPr>
          <w:lang w:val="en-US"/>
        </w:rPr>
        <w:t xml:space="preserve">JCGM (Joint </w:t>
      </w:r>
      <w:r w:rsidRPr="004E472B">
        <w:rPr>
          <w:lang w:val="en-US"/>
        </w:rPr>
        <w:t>Committee for Guides in Metrology)</w:t>
      </w:r>
      <w:r>
        <w:rPr>
          <w:lang w:val="en-US"/>
        </w:rPr>
        <w:t>.</w:t>
      </w:r>
      <w:r w:rsidRPr="004E472B">
        <w:rPr>
          <w:lang w:val="en-US"/>
        </w:rPr>
        <w:t xml:space="preserve"> Evaluation of measurement data – Guide to the expressio</w:t>
      </w:r>
      <w:r>
        <w:rPr>
          <w:lang w:val="en-US"/>
        </w:rPr>
        <w:t>n of uncertainty in measurement.</w:t>
      </w:r>
      <w:r w:rsidRPr="004E472B">
        <w:rPr>
          <w:lang w:val="en-US"/>
        </w:rPr>
        <w:t xml:space="preserve"> JCGM 100:2008</w:t>
      </w:r>
      <w:r>
        <w:rPr>
          <w:lang w:val="en-US"/>
        </w:rPr>
        <w:t>,</w:t>
      </w:r>
      <w:r w:rsidRPr="004E472B">
        <w:rPr>
          <w:lang w:val="en-US"/>
        </w:rPr>
        <w:t xml:space="preserve"> </w:t>
      </w:r>
      <w:r>
        <w:rPr>
          <w:lang w:val="en-US"/>
        </w:rPr>
        <w:t xml:space="preserve">GUM 1995 with minor </w:t>
      </w:r>
      <w:r w:rsidRPr="00BE5124">
        <w:rPr>
          <w:lang w:val="en-US"/>
        </w:rPr>
        <w:t xml:space="preserve">corrections. First edition, September 2008. </w:t>
      </w:r>
    </w:p>
    <w:p w14:paraId="01060111" w14:textId="77777777" w:rsidR="006C034A" w:rsidRPr="00BE5124" w:rsidRDefault="006C034A" w:rsidP="00F22322">
      <w:pPr>
        <w:pStyle w:val="Textkrper"/>
        <w:spacing w:after="0"/>
        <w:rPr>
          <w:rFonts w:cs="Times New Roman"/>
          <w:color w:val="000000"/>
          <w:lang w:val="en-US"/>
        </w:rPr>
      </w:pPr>
    </w:p>
    <w:p w14:paraId="3D5C7E2B" w14:textId="3A8235B2" w:rsidR="00630BD2" w:rsidRDefault="00630BD2">
      <w:pPr>
        <w:rPr>
          <w:rFonts w:cs="Times New Roman"/>
          <w:color w:val="000000"/>
          <w:lang w:val="en-US"/>
        </w:rPr>
      </w:pPr>
      <w:r>
        <w:rPr>
          <w:rFonts w:cs="Times New Roman"/>
          <w:color w:val="000000"/>
          <w:lang w:val="en-US"/>
        </w:rPr>
        <w:br w:type="page"/>
      </w:r>
    </w:p>
    <w:p w14:paraId="3F9AFF38" w14:textId="7B89A59B" w:rsidR="00C24729" w:rsidRDefault="00C24729" w:rsidP="00D15F17">
      <w:pPr>
        <w:pStyle w:val="berschrift1"/>
        <w:numPr>
          <w:ilvl w:val="0"/>
          <w:numId w:val="0"/>
        </w:numPr>
        <w:ind w:left="1304" w:hanging="1304"/>
        <w:rPr>
          <w:lang w:val="en-GB"/>
        </w:rPr>
      </w:pPr>
      <w:bookmarkStart w:id="18" w:name="_Toc179201992"/>
      <w:r>
        <w:rPr>
          <w:lang w:val="en-GB"/>
        </w:rPr>
        <w:lastRenderedPageBreak/>
        <w:t>Appendix I: Complete addresses of the participants (used for shipment)</w:t>
      </w:r>
      <w:bookmarkEnd w:id="18"/>
    </w:p>
    <w:p w14:paraId="3BB2C325" w14:textId="7003EEB1" w:rsidR="009D2744" w:rsidRDefault="009D2744" w:rsidP="001A5F41">
      <w:pPr>
        <w:pStyle w:val="Textkrper"/>
        <w:rPr>
          <w:b/>
          <w:bCs/>
          <w:lang w:val="es-ES"/>
        </w:rPr>
      </w:pPr>
    </w:p>
    <w:p w14:paraId="7DC7E556" w14:textId="790F8F4B" w:rsidR="001A5F41" w:rsidRPr="005B3C24" w:rsidRDefault="009D2744" w:rsidP="001A5F41">
      <w:pPr>
        <w:pStyle w:val="Textkrper"/>
        <w:rPr>
          <w:b/>
          <w:bCs/>
          <w:lang w:val="es-ES"/>
        </w:rPr>
      </w:pPr>
      <w:r>
        <w:rPr>
          <w:b/>
          <w:bCs/>
          <w:lang w:val="es-ES"/>
        </w:rPr>
        <w:t>NPL</w:t>
      </w:r>
      <w:r w:rsidR="001A5F41" w:rsidRPr="005B3C24">
        <w:rPr>
          <w:b/>
          <w:bCs/>
          <w:lang w:val="es-ES"/>
        </w:rPr>
        <w:t>/</w:t>
      </w:r>
      <w:r>
        <w:rPr>
          <w:b/>
          <w:bCs/>
          <w:lang w:val="es-ES"/>
        </w:rPr>
        <w:t>United Kingdom</w:t>
      </w:r>
    </w:p>
    <w:p w14:paraId="78B61710" w14:textId="77777777" w:rsidR="001A5F41" w:rsidRPr="00DF07A2" w:rsidRDefault="001A5F41" w:rsidP="001A5F41">
      <w:pPr>
        <w:pStyle w:val="Textkrper"/>
        <w:spacing w:after="120"/>
        <w:rPr>
          <w:lang w:val="en-GB"/>
        </w:rPr>
      </w:pPr>
      <w:r w:rsidRPr="00DF07A2">
        <w:rPr>
          <w:lang w:val="en-GB"/>
        </w:rPr>
        <w:t>Postal address:</w:t>
      </w:r>
    </w:p>
    <w:p w14:paraId="5E455E02" w14:textId="05C84CCE" w:rsidR="00AC530F" w:rsidRPr="00DF07A2" w:rsidRDefault="00AC530F" w:rsidP="00AC530F">
      <w:pPr>
        <w:pStyle w:val="Textkrper"/>
        <w:spacing w:after="0"/>
        <w:rPr>
          <w:lang w:val="en-GB"/>
        </w:rPr>
      </w:pPr>
      <w:r w:rsidRPr="00DF07A2">
        <w:rPr>
          <w:lang w:val="en-GB"/>
        </w:rPr>
        <w:t>National Physics Laboratory</w:t>
      </w:r>
    </w:p>
    <w:p w14:paraId="4BC85BC1" w14:textId="113CE63E" w:rsidR="00AC530F" w:rsidRPr="00DF07A2" w:rsidRDefault="00AC530F" w:rsidP="00AC530F">
      <w:pPr>
        <w:pStyle w:val="Textkrper"/>
        <w:spacing w:after="0"/>
        <w:rPr>
          <w:lang w:val="en-GB"/>
        </w:rPr>
      </w:pPr>
      <w:r w:rsidRPr="00DF07A2">
        <w:rPr>
          <w:lang w:val="en-GB"/>
        </w:rPr>
        <w:t xml:space="preserve">Hampton Road </w:t>
      </w:r>
    </w:p>
    <w:p w14:paraId="113C2941" w14:textId="1041EA5B" w:rsidR="001A5F41" w:rsidRPr="00DF07A2" w:rsidRDefault="00AC530F" w:rsidP="00AC530F">
      <w:pPr>
        <w:pStyle w:val="Textkrper"/>
        <w:spacing w:after="0"/>
        <w:rPr>
          <w:lang w:val="en-GB"/>
        </w:rPr>
      </w:pPr>
      <w:r w:rsidRPr="00DF07A2">
        <w:rPr>
          <w:lang w:val="en-GB"/>
        </w:rPr>
        <w:t>Teddington, Middlesex, TW11 0LW</w:t>
      </w:r>
    </w:p>
    <w:p w14:paraId="0089FEBE" w14:textId="0EC9B24D" w:rsidR="00AC530F" w:rsidRPr="00DF07A2" w:rsidRDefault="00AC530F" w:rsidP="00AC530F">
      <w:pPr>
        <w:pStyle w:val="Textkrper"/>
        <w:spacing w:after="0"/>
        <w:rPr>
          <w:lang w:val="en-GB"/>
        </w:rPr>
      </w:pPr>
      <w:r w:rsidRPr="00DF07A2">
        <w:rPr>
          <w:lang w:val="en-GB"/>
        </w:rPr>
        <w:t>United Kingdom</w:t>
      </w:r>
    </w:p>
    <w:p w14:paraId="041E15F4" w14:textId="77777777" w:rsidR="00AC530F" w:rsidRPr="00DF07A2" w:rsidRDefault="00AC530F" w:rsidP="001A5F41">
      <w:pPr>
        <w:pStyle w:val="Textkrper"/>
        <w:spacing w:after="120"/>
        <w:rPr>
          <w:lang w:val="en-GB"/>
        </w:rPr>
      </w:pPr>
    </w:p>
    <w:p w14:paraId="4C0759E9" w14:textId="5F4F668D" w:rsidR="001A5F41" w:rsidRPr="00CD53DA" w:rsidRDefault="001A5F41" w:rsidP="001A5F41">
      <w:pPr>
        <w:pStyle w:val="Textkrper"/>
        <w:spacing w:after="120"/>
        <w:rPr>
          <w:lang w:val="en-US"/>
        </w:rPr>
      </w:pPr>
      <w:r>
        <w:rPr>
          <w:lang w:val="en-GB"/>
        </w:rPr>
        <w:t xml:space="preserve">Contact person: </w:t>
      </w:r>
      <w:r w:rsidR="00AC530F">
        <w:rPr>
          <w:lang w:val="en-GB"/>
        </w:rPr>
        <w:t>Graeme Taylor</w:t>
      </w:r>
    </w:p>
    <w:p w14:paraId="51111B6E" w14:textId="47207963" w:rsidR="001A5F41" w:rsidRPr="00700A10" w:rsidRDefault="001A5F41" w:rsidP="001A5F41">
      <w:pPr>
        <w:pStyle w:val="Textkrper"/>
        <w:spacing w:after="0"/>
        <w:rPr>
          <w:lang w:val="de-DE"/>
        </w:rPr>
      </w:pPr>
      <w:r w:rsidRPr="00700A10">
        <w:rPr>
          <w:lang w:val="de-DE"/>
        </w:rPr>
        <w:t xml:space="preserve">Tel: </w:t>
      </w:r>
      <w:r w:rsidRPr="00700A10">
        <w:rPr>
          <w:lang w:val="de-DE"/>
        </w:rPr>
        <w:tab/>
      </w:r>
    </w:p>
    <w:p w14:paraId="1856385C" w14:textId="2AA95A25" w:rsidR="001A5F41" w:rsidRPr="00700A10" w:rsidRDefault="001A5F41" w:rsidP="001A5F41">
      <w:pPr>
        <w:pStyle w:val="Textkrper"/>
        <w:spacing w:after="0"/>
        <w:rPr>
          <w:lang w:val="de-DE"/>
        </w:rPr>
      </w:pPr>
      <w:r w:rsidRPr="00700A10">
        <w:rPr>
          <w:lang w:val="de-DE"/>
        </w:rPr>
        <w:t>e-mail:</w:t>
      </w:r>
      <w:r w:rsidR="00AC530F" w:rsidRPr="00700A10">
        <w:rPr>
          <w:lang w:val="de-DE"/>
        </w:rPr>
        <w:t xml:space="preserve"> graeme.taylor@npl.co.uk</w:t>
      </w:r>
      <w:r w:rsidRPr="00700A10">
        <w:rPr>
          <w:lang w:val="de-DE"/>
        </w:rPr>
        <w:tab/>
      </w:r>
    </w:p>
    <w:p w14:paraId="583A4590" w14:textId="77777777" w:rsidR="001A5F41" w:rsidRPr="00700A10" w:rsidRDefault="001A5F41" w:rsidP="00C24729">
      <w:pPr>
        <w:pStyle w:val="Textkrper"/>
        <w:rPr>
          <w:b/>
          <w:bCs/>
          <w:lang w:val="de-DE"/>
        </w:rPr>
      </w:pPr>
    </w:p>
    <w:p w14:paraId="3CF3ADE9" w14:textId="77777777" w:rsidR="00C66B27" w:rsidRPr="003E7EB3" w:rsidRDefault="00C66B27" w:rsidP="00C66B27">
      <w:pPr>
        <w:pStyle w:val="Textkrper"/>
        <w:rPr>
          <w:b/>
          <w:bCs/>
          <w:lang w:val="en-GB"/>
        </w:rPr>
      </w:pPr>
      <w:r w:rsidRPr="003E7EB3">
        <w:rPr>
          <w:b/>
          <w:bCs/>
          <w:lang w:val="en-GB"/>
        </w:rPr>
        <w:t>STUK / Finland</w:t>
      </w:r>
    </w:p>
    <w:p w14:paraId="04351944" w14:textId="0C3577D9" w:rsidR="00C66B27" w:rsidRDefault="00C66B27" w:rsidP="00C66B27">
      <w:pPr>
        <w:pStyle w:val="Textkrper"/>
        <w:spacing w:after="120"/>
        <w:rPr>
          <w:lang w:val="en-GB"/>
        </w:rPr>
      </w:pPr>
      <w:r>
        <w:rPr>
          <w:lang w:val="en-GB"/>
        </w:rPr>
        <w:t>Postal address</w:t>
      </w:r>
      <w:r w:rsidR="009D2744">
        <w:rPr>
          <w:lang w:val="en-GB"/>
        </w:rPr>
        <w:t>:</w:t>
      </w:r>
    </w:p>
    <w:p w14:paraId="6DAB2EA8" w14:textId="77777777" w:rsidR="009D63E2" w:rsidRPr="00C24729" w:rsidRDefault="009D63E2" w:rsidP="009D63E2">
      <w:pPr>
        <w:pStyle w:val="Textkrper"/>
        <w:spacing w:after="0"/>
        <w:rPr>
          <w:lang w:val="en-GB"/>
        </w:rPr>
      </w:pPr>
      <w:r w:rsidRPr="00C24729">
        <w:rPr>
          <w:lang w:val="en-GB"/>
        </w:rPr>
        <w:t>Radiation and Nuclear Safety Authority (STUK)</w:t>
      </w:r>
    </w:p>
    <w:p w14:paraId="5B29E4F5" w14:textId="77777777" w:rsidR="009D63E2" w:rsidRPr="00C24729" w:rsidRDefault="009D63E2" w:rsidP="009D63E2">
      <w:pPr>
        <w:pStyle w:val="Textkrper"/>
        <w:spacing w:after="0"/>
        <w:rPr>
          <w:lang w:val="en-GB"/>
        </w:rPr>
      </w:pPr>
      <w:r w:rsidRPr="00C24729">
        <w:rPr>
          <w:lang w:val="en-GB"/>
        </w:rPr>
        <w:t>Radiation Metrology Laboratory</w:t>
      </w:r>
    </w:p>
    <w:p w14:paraId="4B19D8F7" w14:textId="77777777" w:rsidR="008723AD" w:rsidRDefault="008723AD" w:rsidP="009D63E2">
      <w:pPr>
        <w:pStyle w:val="Textkrper"/>
        <w:spacing w:after="0"/>
        <w:rPr>
          <w:lang w:val="en-GB"/>
        </w:rPr>
      </w:pPr>
      <w:r>
        <w:rPr>
          <w:lang w:val="en-GB"/>
        </w:rPr>
        <w:t>Jokiniemenkuja 1</w:t>
      </w:r>
    </w:p>
    <w:p w14:paraId="74988635" w14:textId="5013F616" w:rsidR="009D63E2" w:rsidRPr="00C24729" w:rsidRDefault="009D63E2" w:rsidP="009D63E2">
      <w:pPr>
        <w:pStyle w:val="Textkrper"/>
        <w:spacing w:after="0"/>
        <w:rPr>
          <w:lang w:val="en-GB"/>
        </w:rPr>
      </w:pPr>
      <w:r w:rsidRPr="00C24729">
        <w:rPr>
          <w:lang w:val="en-GB"/>
        </w:rPr>
        <w:t>0</w:t>
      </w:r>
      <w:r w:rsidR="008723AD">
        <w:rPr>
          <w:lang w:val="en-GB"/>
        </w:rPr>
        <w:t>137</w:t>
      </w:r>
      <w:r>
        <w:rPr>
          <w:lang w:val="en-GB"/>
        </w:rPr>
        <w:t>0</w:t>
      </w:r>
      <w:r w:rsidRPr="00C24729">
        <w:rPr>
          <w:lang w:val="en-GB"/>
        </w:rPr>
        <w:t xml:space="preserve"> </w:t>
      </w:r>
      <w:r w:rsidR="008723AD">
        <w:rPr>
          <w:lang w:val="en-GB"/>
        </w:rPr>
        <w:t>Vantaa</w:t>
      </w:r>
    </w:p>
    <w:p w14:paraId="1A61945F" w14:textId="77777777" w:rsidR="009D63E2" w:rsidRPr="00C24729" w:rsidRDefault="009D63E2" w:rsidP="009D63E2">
      <w:pPr>
        <w:pStyle w:val="Textkrper"/>
        <w:spacing w:after="0"/>
        <w:rPr>
          <w:lang w:val="en-GB"/>
        </w:rPr>
      </w:pPr>
      <w:r w:rsidRPr="00C24729">
        <w:rPr>
          <w:lang w:val="en-GB"/>
        </w:rPr>
        <w:t>Finland</w:t>
      </w:r>
    </w:p>
    <w:p w14:paraId="690CB02D" w14:textId="1AC3DB45" w:rsidR="00C66B27" w:rsidRDefault="00C66B27" w:rsidP="00C66B27">
      <w:pPr>
        <w:pStyle w:val="Textkrper"/>
        <w:spacing w:after="120"/>
        <w:rPr>
          <w:lang w:val="en-GB"/>
        </w:rPr>
      </w:pPr>
    </w:p>
    <w:p w14:paraId="66BFAD9F" w14:textId="77777777" w:rsidR="009D63E2" w:rsidRPr="00C24729" w:rsidRDefault="009D63E2" w:rsidP="00C66B27">
      <w:pPr>
        <w:pStyle w:val="Textkrper"/>
        <w:spacing w:after="120"/>
        <w:rPr>
          <w:lang w:val="en-GB"/>
        </w:rPr>
      </w:pPr>
    </w:p>
    <w:p w14:paraId="01E15A46" w14:textId="4783BE12" w:rsidR="00C66B27" w:rsidRPr="00A61776" w:rsidRDefault="00C66B27" w:rsidP="00C66B27">
      <w:pPr>
        <w:pStyle w:val="Textkrper"/>
        <w:spacing w:after="120"/>
        <w:rPr>
          <w:lang w:val="en-GB"/>
        </w:rPr>
      </w:pPr>
      <w:r w:rsidRPr="00A61776">
        <w:rPr>
          <w:lang w:val="en-GB"/>
        </w:rPr>
        <w:t>Contact person:</w:t>
      </w:r>
      <w:r w:rsidR="00CD53DA" w:rsidRPr="00A61776">
        <w:rPr>
          <w:lang w:val="en-GB"/>
        </w:rPr>
        <w:t xml:space="preserve"> </w:t>
      </w:r>
      <w:r w:rsidR="009D2744" w:rsidRPr="00A61776">
        <w:rPr>
          <w:lang w:val="en-GB"/>
        </w:rPr>
        <w:t>Jussi Huikari</w:t>
      </w:r>
    </w:p>
    <w:p w14:paraId="3D50F02B" w14:textId="718B12AF" w:rsidR="00C66B27" w:rsidRPr="00F260B1" w:rsidRDefault="00C66B27" w:rsidP="00C66B27">
      <w:pPr>
        <w:pStyle w:val="Textkrper"/>
        <w:spacing w:after="0"/>
        <w:rPr>
          <w:lang w:val="es-ES"/>
        </w:rPr>
      </w:pPr>
      <w:r w:rsidRPr="00F260B1">
        <w:rPr>
          <w:lang w:val="es-ES"/>
        </w:rPr>
        <w:t>Tel:</w:t>
      </w:r>
      <w:r w:rsidRPr="00F260B1">
        <w:rPr>
          <w:lang w:val="es-ES"/>
        </w:rPr>
        <w:tab/>
        <w:t>+358</w:t>
      </w:r>
      <w:r w:rsidR="00AC530F">
        <w:rPr>
          <w:lang w:val="es-ES"/>
        </w:rPr>
        <w:t xml:space="preserve"> </w:t>
      </w:r>
      <w:r w:rsidR="00AC530F" w:rsidRPr="005E2687">
        <w:rPr>
          <w:lang w:val="en-GB"/>
        </w:rPr>
        <w:t>40 8225559</w:t>
      </w:r>
    </w:p>
    <w:p w14:paraId="651A7910" w14:textId="75486B4E" w:rsidR="00C66B27" w:rsidRPr="00F260B1" w:rsidRDefault="00C66B27" w:rsidP="00C66B27">
      <w:pPr>
        <w:pStyle w:val="Textkrper"/>
        <w:spacing w:after="0"/>
        <w:rPr>
          <w:lang w:val="es-ES"/>
        </w:rPr>
      </w:pPr>
      <w:r w:rsidRPr="00F260B1">
        <w:rPr>
          <w:lang w:val="es-ES"/>
        </w:rPr>
        <w:t>e-mail:</w:t>
      </w:r>
      <w:r w:rsidRPr="00F260B1">
        <w:rPr>
          <w:lang w:val="es-ES"/>
        </w:rPr>
        <w:tab/>
      </w:r>
      <w:r w:rsidR="009D2744">
        <w:rPr>
          <w:lang w:val="es-ES"/>
        </w:rPr>
        <w:t>jussi.huikari</w:t>
      </w:r>
      <w:r w:rsidRPr="00F260B1">
        <w:rPr>
          <w:lang w:val="es-ES"/>
        </w:rPr>
        <w:t xml:space="preserve">@stuk.fi </w:t>
      </w:r>
    </w:p>
    <w:p w14:paraId="0A78F741" w14:textId="77777777" w:rsidR="006A7436" w:rsidRPr="00700A10" w:rsidRDefault="006A7436" w:rsidP="00C66B27">
      <w:pPr>
        <w:pStyle w:val="Textkrper"/>
        <w:spacing w:after="0"/>
        <w:rPr>
          <w:lang w:val="es-ES"/>
        </w:rPr>
      </w:pPr>
    </w:p>
    <w:p w14:paraId="49460E56" w14:textId="77777777" w:rsidR="00DF07A2" w:rsidRPr="00700A10" w:rsidRDefault="00DF07A2" w:rsidP="00C66B27">
      <w:pPr>
        <w:pStyle w:val="Textkrper"/>
        <w:spacing w:after="0"/>
        <w:rPr>
          <w:lang w:val="es-ES"/>
        </w:rPr>
      </w:pPr>
    </w:p>
    <w:p w14:paraId="64703DD2" w14:textId="2FEB7F90" w:rsidR="00C069DE" w:rsidRDefault="00C069DE" w:rsidP="00D15F17">
      <w:pPr>
        <w:pStyle w:val="berschrift1"/>
        <w:numPr>
          <w:ilvl w:val="0"/>
          <w:numId w:val="0"/>
        </w:numPr>
        <w:ind w:left="1304" w:hanging="1304"/>
        <w:rPr>
          <w:lang w:val="en-US"/>
        </w:rPr>
      </w:pPr>
      <w:bookmarkStart w:id="19" w:name="_Toc179201993"/>
      <w:r>
        <w:rPr>
          <w:lang w:val="en-US"/>
        </w:rPr>
        <w:lastRenderedPageBreak/>
        <w:t>Appendix II. Pictures of</w:t>
      </w:r>
      <w:r w:rsidR="00396E56">
        <w:rPr>
          <w:lang w:val="en-US"/>
        </w:rPr>
        <w:t xml:space="preserve"> transfer chambers</w:t>
      </w:r>
      <w:r>
        <w:rPr>
          <w:lang w:val="en-US"/>
        </w:rPr>
        <w:t>.</w:t>
      </w:r>
      <w:bookmarkEnd w:id="19"/>
    </w:p>
    <w:p w14:paraId="7C76419A" w14:textId="1CB0E51B" w:rsidR="003063BA" w:rsidRPr="005B3C24" w:rsidRDefault="003063BA" w:rsidP="00C069DE">
      <w:pPr>
        <w:pStyle w:val="Textkrper"/>
        <w:rPr>
          <w:lang w:val="en-US"/>
        </w:rPr>
      </w:pPr>
      <w:r>
        <w:rPr>
          <w:noProof/>
          <w:lang w:val="en-US"/>
        </w:rPr>
        <w:drawing>
          <wp:inline distT="0" distB="0" distL="0" distR="0" wp14:anchorId="356C0512" wp14:editId="67BD6352">
            <wp:extent cx="4324218" cy="3662318"/>
            <wp:effectExtent l="6985" t="0" r="7620" b="7620"/>
            <wp:docPr id="989428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4365431" cy="3697222"/>
                    </a:xfrm>
                    <a:prstGeom prst="rect">
                      <a:avLst/>
                    </a:prstGeom>
                    <a:noFill/>
                    <a:ln>
                      <a:noFill/>
                    </a:ln>
                  </pic:spPr>
                </pic:pic>
              </a:graphicData>
            </a:graphic>
          </wp:inline>
        </w:drawing>
      </w:r>
    </w:p>
    <w:p w14:paraId="4B1065FA" w14:textId="34778216" w:rsidR="006B3F42" w:rsidRDefault="00EE72FC" w:rsidP="00C069DE">
      <w:pPr>
        <w:pStyle w:val="Textkrper"/>
        <w:rPr>
          <w:lang w:val="en-US"/>
        </w:rPr>
      </w:pPr>
      <w:r>
        <w:rPr>
          <w:lang w:val="en-US"/>
        </w:rPr>
        <w:t xml:space="preserve">Figure A1. </w:t>
      </w:r>
      <w:r w:rsidR="009D2744">
        <w:rPr>
          <w:lang w:val="en-US"/>
        </w:rPr>
        <w:t>Berthold</w:t>
      </w:r>
    </w:p>
    <w:p w14:paraId="63420574" w14:textId="77777777" w:rsidR="00EE72FC" w:rsidRDefault="00EE72FC" w:rsidP="00C069DE">
      <w:pPr>
        <w:pStyle w:val="Textkrper"/>
        <w:rPr>
          <w:lang w:val="en-US"/>
        </w:rPr>
      </w:pPr>
    </w:p>
    <w:p w14:paraId="59544C68" w14:textId="61F0C564" w:rsidR="00EE72FC" w:rsidRPr="006B3F42" w:rsidRDefault="00EE72FC" w:rsidP="00C069DE">
      <w:pPr>
        <w:pStyle w:val="Textkrper"/>
        <w:rPr>
          <w:lang w:val="en-US"/>
        </w:rPr>
      </w:pPr>
      <w:r>
        <w:rPr>
          <w:noProof/>
          <w:lang w:val="en-US"/>
        </w:rPr>
        <mc:AlternateContent>
          <mc:Choice Requires="wps">
            <w:drawing>
              <wp:anchor distT="0" distB="0" distL="114300" distR="114300" simplePos="0" relativeHeight="251661312" behindDoc="0" locked="0" layoutInCell="1" allowOverlap="1" wp14:anchorId="6CD17A32" wp14:editId="42415885">
                <wp:simplePos x="0" y="0"/>
                <wp:positionH relativeFrom="column">
                  <wp:posOffset>4575810</wp:posOffset>
                </wp:positionH>
                <wp:positionV relativeFrom="paragraph">
                  <wp:posOffset>1031240</wp:posOffset>
                </wp:positionV>
                <wp:extent cx="733425" cy="657225"/>
                <wp:effectExtent l="38100" t="0" r="28575" b="47625"/>
                <wp:wrapNone/>
                <wp:docPr id="241139442" name="Straight Arrow Connector 2"/>
                <wp:cNvGraphicFramePr/>
                <a:graphic xmlns:a="http://schemas.openxmlformats.org/drawingml/2006/main">
                  <a:graphicData uri="http://schemas.microsoft.com/office/word/2010/wordprocessingShape">
                    <wps:wsp>
                      <wps:cNvCnPr/>
                      <wps:spPr>
                        <a:xfrm flipH="1">
                          <a:off x="0" y="0"/>
                          <a:ext cx="733425" cy="6572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6C6177" id="_x0000_t32" coordsize="21600,21600" o:spt="32" o:oned="t" path="m,l21600,21600e" filled="f">
                <v:path arrowok="t" fillok="f" o:connecttype="none"/>
                <o:lock v:ext="edit" shapetype="t"/>
              </v:shapetype>
              <v:shape id="Straight Arrow Connector 2" o:spid="_x0000_s1026" type="#_x0000_t32" style="position:absolute;margin-left:360.3pt;margin-top:81.2pt;width:57.75pt;height:51.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" strokecolor="red" strokeweight="1.5pt">
                <v:stroke endarrow="block"/>
              </v:shape>
            </w:pict>
          </mc:Fallback>
        </mc:AlternateContent>
      </w:r>
      <w:r>
        <w:rPr>
          <w:noProof/>
          <w:lang w:val="en-US"/>
        </w:rPr>
        <mc:AlternateContent>
          <mc:Choice Requires="wps">
            <w:drawing>
              <wp:anchor distT="0" distB="0" distL="114300" distR="114300" simplePos="0" relativeHeight="251659264" behindDoc="0" locked="0" layoutInCell="1" allowOverlap="1" wp14:anchorId="20A8CF12" wp14:editId="0D8DBAF5">
                <wp:simplePos x="0" y="0"/>
                <wp:positionH relativeFrom="column">
                  <wp:posOffset>4518660</wp:posOffset>
                </wp:positionH>
                <wp:positionV relativeFrom="paragraph">
                  <wp:posOffset>31115</wp:posOffset>
                </wp:positionV>
                <wp:extent cx="733425" cy="657225"/>
                <wp:effectExtent l="38100" t="0" r="28575" b="47625"/>
                <wp:wrapNone/>
                <wp:docPr id="1768415090" name="Straight Arrow Connector 2"/>
                <wp:cNvGraphicFramePr/>
                <a:graphic xmlns:a="http://schemas.openxmlformats.org/drawingml/2006/main">
                  <a:graphicData uri="http://schemas.microsoft.com/office/word/2010/wordprocessingShape">
                    <wps:wsp>
                      <wps:cNvCnPr/>
                      <wps:spPr>
                        <a:xfrm flipH="1">
                          <a:off x="0" y="0"/>
                          <a:ext cx="733425" cy="6572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733516" id="Straight Arrow Connector 2" o:spid="_x0000_s1026" type="#_x0000_t32" style="position:absolute;margin-left:355.8pt;margin-top:2.45pt;width:57.75pt;height:51.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" strokecolor="red" strokeweight="1.5pt">
                <v:stroke endarrow="block"/>
              </v:shape>
            </w:pict>
          </mc:Fallback>
        </mc:AlternateContent>
      </w:r>
      <w:r>
        <w:rPr>
          <w:noProof/>
          <w:lang w:val="en-US"/>
        </w:rPr>
        <w:drawing>
          <wp:inline distT="0" distB="0" distL="0" distR="0" wp14:anchorId="3C4FCAE8" wp14:editId="67C65DF5">
            <wp:extent cx="2184778" cy="4510028"/>
            <wp:effectExtent l="0" t="635" r="5715" b="5715"/>
            <wp:docPr id="1063415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306" t="513" r="37530"/>
                    <a:stretch/>
                  </pic:blipFill>
                  <pic:spPr bwMode="auto">
                    <a:xfrm rot="5400000">
                      <a:off x="0" y="0"/>
                      <a:ext cx="2185210" cy="4510920"/>
                    </a:xfrm>
                    <a:prstGeom prst="rect">
                      <a:avLst/>
                    </a:prstGeom>
                    <a:noFill/>
                    <a:ln>
                      <a:noFill/>
                    </a:ln>
                    <a:extLst>
                      <a:ext uri="{53640926-AAD7-44D8-BBD7-CCE9431645EC}">
                        <a14:shadowObscured xmlns:a14="http://schemas.microsoft.com/office/drawing/2010/main"/>
                      </a:ext>
                    </a:extLst>
                  </pic:spPr>
                </pic:pic>
              </a:graphicData>
            </a:graphic>
          </wp:inline>
        </w:drawing>
      </w:r>
    </w:p>
    <w:p w14:paraId="18C99C1B" w14:textId="39A2DC91" w:rsidR="006B3F42" w:rsidRPr="006B3F42" w:rsidRDefault="00EE72FC" w:rsidP="00C069DE">
      <w:pPr>
        <w:pStyle w:val="Textkrper"/>
        <w:rPr>
          <w:lang w:val="en-US"/>
        </w:rPr>
      </w:pPr>
      <w:r>
        <w:rPr>
          <w:lang w:val="en-US"/>
        </w:rPr>
        <w:t>Figure A</w:t>
      </w:r>
      <w:r w:rsidR="005C11C5">
        <w:rPr>
          <w:lang w:val="en-US"/>
        </w:rPr>
        <w:t>2</w:t>
      </w:r>
      <w:r>
        <w:rPr>
          <w:lang w:val="en-US"/>
        </w:rPr>
        <w:t xml:space="preserve">. </w:t>
      </w:r>
      <w:r w:rsidR="009D2744">
        <w:rPr>
          <w:lang w:val="en-US"/>
        </w:rPr>
        <w:t>DCM3000</w:t>
      </w:r>
      <w:r>
        <w:rPr>
          <w:lang w:val="en-US"/>
        </w:rPr>
        <w:t xml:space="preserve"> instrument. Reference points are marked with red arrows.</w:t>
      </w:r>
    </w:p>
    <w:sectPr w:rsidR="006B3F42" w:rsidRPr="006B3F42" w:rsidSect="00A9243F">
      <w:headerReference w:type="default" r:id="rId14"/>
      <w:pgSz w:w="11906" w:h="16838"/>
      <w:pgMar w:top="2438" w:right="1134" w:bottom="1701" w:left="1134"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1598" w14:textId="77777777" w:rsidR="009B2C42" w:rsidRDefault="009B2C42" w:rsidP="001D19F9">
      <w:r>
        <w:separator/>
      </w:r>
    </w:p>
    <w:p w14:paraId="31583193" w14:textId="77777777" w:rsidR="009B2C42" w:rsidRDefault="009B2C42"/>
  </w:endnote>
  <w:endnote w:type="continuationSeparator" w:id="0">
    <w:p w14:paraId="0C937DB5" w14:textId="77777777" w:rsidR="009B2C42" w:rsidRDefault="009B2C42" w:rsidP="001D19F9">
      <w:r>
        <w:continuationSeparator/>
      </w:r>
    </w:p>
    <w:p w14:paraId="114A514A" w14:textId="77777777" w:rsidR="009B2C42" w:rsidRDefault="009B2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9933" w14:textId="77777777" w:rsidR="00B16A7C" w:rsidRDefault="00B16A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2ABC" w14:textId="77777777" w:rsidR="009B2C42" w:rsidRDefault="009B2C42" w:rsidP="001D19F9">
      <w:r>
        <w:separator/>
      </w:r>
    </w:p>
    <w:p w14:paraId="0D3D4105" w14:textId="77777777" w:rsidR="009B2C42" w:rsidRDefault="009B2C42"/>
  </w:footnote>
  <w:footnote w:type="continuationSeparator" w:id="0">
    <w:p w14:paraId="0E2FBBBF" w14:textId="77777777" w:rsidR="009B2C42" w:rsidRDefault="009B2C42" w:rsidP="001D19F9">
      <w:r>
        <w:continuationSeparator/>
      </w:r>
    </w:p>
    <w:p w14:paraId="58423906" w14:textId="77777777" w:rsidR="009B2C42" w:rsidRDefault="009B2C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A646" w14:textId="1DD7EF24" w:rsidR="00B16A7C" w:rsidRPr="007F3B8C" w:rsidRDefault="00B16A7C">
    <w:pPr>
      <w:pStyle w:val="Kopfzeile"/>
      <w:rPr>
        <w:lang w:val="en-GB"/>
      </w:rPr>
    </w:pPr>
    <w:r w:rsidRPr="007F3B8C">
      <w:rPr>
        <w:rFonts w:eastAsia="Calibri" w:cs="Arial"/>
        <w:caps/>
        <w:noProof/>
        <w:color w:val="006EB8"/>
        <w:lang w:val="en-CA" w:eastAsia="en-CA"/>
      </w:rPr>
      <w:drawing>
        <wp:anchor distT="0" distB="0" distL="114300" distR="114300" simplePos="0" relativeHeight="251663360" behindDoc="1" locked="0" layoutInCell="1" allowOverlap="1" wp14:anchorId="44934958" wp14:editId="61717E8C">
          <wp:simplePos x="0" y="0"/>
          <wp:positionH relativeFrom="page">
            <wp:posOffset>0</wp:posOffset>
          </wp:positionH>
          <wp:positionV relativeFrom="page">
            <wp:posOffset>-114745</wp:posOffset>
          </wp:positionV>
          <wp:extent cx="1738800" cy="5522400"/>
          <wp:effectExtent l="0" t="0" r="0" b="2540"/>
          <wp:wrapNone/>
          <wp:docPr id="5" name="Kuva 4" descr="Kuva, joka sisältää kohteen objekti, rannekello&#10;&#10;Kuvaus luotu, erittäin korkea luotettavu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kansi.png"/>
                  <pic:cNvPicPr/>
                </pic:nvPicPr>
                <pic:blipFill>
                  <a:blip r:embed="rId1">
                    <a:extLst>
                      <a:ext uri="{28A0092B-C50C-407E-A947-70E740481C1C}">
                        <a14:useLocalDpi xmlns:a14="http://schemas.microsoft.com/office/drawing/2010/main" val="0"/>
                      </a:ext>
                    </a:extLst>
                  </a:blip>
                  <a:stretch>
                    <a:fillRect/>
                  </a:stretch>
                </pic:blipFill>
                <pic:spPr>
                  <a:xfrm>
                    <a:off x="0" y="0"/>
                    <a:ext cx="1738800" cy="552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unaton"/>
      <w:tblW w:w="5000" w:type="pct"/>
      <w:tblLayout w:type="fixed"/>
      <w:tblCellMar>
        <w:left w:w="0" w:type="dxa"/>
      </w:tblCellMar>
      <w:tblLook w:val="04A0" w:firstRow="1" w:lastRow="0" w:firstColumn="1" w:lastColumn="0" w:noHBand="0" w:noVBand="1"/>
    </w:tblPr>
    <w:tblGrid>
      <w:gridCol w:w="4859"/>
      <w:gridCol w:w="2431"/>
      <w:gridCol w:w="1396"/>
      <w:gridCol w:w="952"/>
    </w:tblGrid>
    <w:tr w:rsidR="00B16A7C" w:rsidRPr="00AB24EA" w14:paraId="5D4A356C" w14:textId="77777777" w:rsidTr="00C069DE">
      <w:tc>
        <w:tcPr>
          <w:tcW w:w="2521" w:type="pct"/>
        </w:tcPr>
        <w:p w14:paraId="542A18F7" w14:textId="16BCC821" w:rsidR="00B16A7C" w:rsidRPr="00836454" w:rsidRDefault="00B16A7C" w:rsidP="00E54461">
          <w:pPr>
            <w:pStyle w:val="Kopfzeile"/>
            <w:rPr>
              <w:b/>
              <w:lang w:val="en-US"/>
            </w:rPr>
          </w:pPr>
        </w:p>
      </w:tc>
      <w:tc>
        <w:tcPr>
          <w:tcW w:w="1261" w:type="pct"/>
        </w:tcPr>
        <w:p w14:paraId="6E0CA693" w14:textId="5EFEB12A" w:rsidR="00B16A7C" w:rsidRPr="001D4ED7" w:rsidRDefault="00B16A7C" w:rsidP="00E54461">
          <w:pPr>
            <w:pStyle w:val="Kopfzeile"/>
            <w:rPr>
              <w:b/>
              <w:lang w:val="en-GB"/>
            </w:rPr>
          </w:pPr>
        </w:p>
      </w:tc>
      <w:tc>
        <w:tcPr>
          <w:tcW w:w="724" w:type="pct"/>
        </w:tcPr>
        <w:p w14:paraId="765F565A" w14:textId="067C1217" w:rsidR="00B16A7C" w:rsidRPr="005F16D1" w:rsidRDefault="00B16A7C" w:rsidP="00E54461">
          <w:pPr>
            <w:pStyle w:val="Kopfzeile"/>
            <w:rPr>
              <w:lang w:val="en-US"/>
            </w:rPr>
          </w:pPr>
        </w:p>
      </w:tc>
      <w:tc>
        <w:tcPr>
          <w:tcW w:w="494" w:type="pct"/>
        </w:tcPr>
        <w:p w14:paraId="4280ABC3" w14:textId="77777777" w:rsidR="00B16A7C" w:rsidRPr="005F16D1" w:rsidRDefault="00B16A7C" w:rsidP="00E54461">
          <w:pPr>
            <w:pStyle w:val="Kopfzeile"/>
            <w:jc w:val="right"/>
            <w:rPr>
              <w:lang w:val="en-US"/>
            </w:rPr>
          </w:pPr>
        </w:p>
      </w:tc>
    </w:tr>
    <w:tr w:rsidR="00B16A7C" w:rsidRPr="00AB24EA" w14:paraId="4C0E0734" w14:textId="77777777" w:rsidTr="00C069DE">
      <w:tc>
        <w:tcPr>
          <w:tcW w:w="2521" w:type="pct"/>
        </w:tcPr>
        <w:p w14:paraId="02F06B6C" w14:textId="77777777" w:rsidR="00B16A7C" w:rsidRPr="005F16D1" w:rsidRDefault="00B16A7C" w:rsidP="00E54461">
          <w:pPr>
            <w:pStyle w:val="Kopfzeile"/>
            <w:rPr>
              <w:lang w:val="en-US"/>
            </w:rPr>
          </w:pPr>
        </w:p>
      </w:tc>
      <w:tc>
        <w:tcPr>
          <w:tcW w:w="1261" w:type="pct"/>
        </w:tcPr>
        <w:p w14:paraId="5C55B306" w14:textId="2845174A" w:rsidR="00B16A7C" w:rsidRPr="001D4ED7" w:rsidRDefault="00B16A7C" w:rsidP="00E54461">
          <w:pPr>
            <w:pStyle w:val="Kopfzeile"/>
            <w:rPr>
              <w:lang w:val="en-GB"/>
            </w:rPr>
          </w:pPr>
        </w:p>
      </w:tc>
      <w:tc>
        <w:tcPr>
          <w:tcW w:w="1218" w:type="pct"/>
          <w:gridSpan w:val="2"/>
        </w:tcPr>
        <w:p w14:paraId="5EC1CE23" w14:textId="1C98AD82" w:rsidR="00B16A7C" w:rsidRPr="005F16D1" w:rsidRDefault="00B16A7C" w:rsidP="00E54461">
          <w:pPr>
            <w:pStyle w:val="Kopfzeile"/>
            <w:rPr>
              <w:lang w:val="en-US"/>
            </w:rPr>
          </w:pPr>
        </w:p>
      </w:tc>
    </w:tr>
    <w:tr w:rsidR="00B16A7C" w:rsidRPr="00AB24EA" w14:paraId="4023FB07" w14:textId="77777777" w:rsidTr="00C069DE">
      <w:tc>
        <w:tcPr>
          <w:tcW w:w="2521" w:type="pct"/>
        </w:tcPr>
        <w:p w14:paraId="513744B5" w14:textId="2D8D6308" w:rsidR="00B16A7C" w:rsidRPr="005F16D1" w:rsidRDefault="00B16A7C" w:rsidP="00E54461">
          <w:pPr>
            <w:pStyle w:val="Kopfzeile"/>
            <w:rPr>
              <w:lang w:val="en-US"/>
            </w:rPr>
          </w:pPr>
        </w:p>
      </w:tc>
      <w:tc>
        <w:tcPr>
          <w:tcW w:w="1261" w:type="pct"/>
        </w:tcPr>
        <w:p w14:paraId="5053C665" w14:textId="45F39AFB" w:rsidR="00B16A7C" w:rsidRPr="001D4ED7" w:rsidRDefault="00B16A7C" w:rsidP="00E54461">
          <w:pPr>
            <w:pStyle w:val="Kopfzeile"/>
            <w:rPr>
              <w:lang w:val="en-GB"/>
            </w:rPr>
          </w:pPr>
        </w:p>
      </w:tc>
      <w:tc>
        <w:tcPr>
          <w:tcW w:w="1218" w:type="pct"/>
          <w:gridSpan w:val="2"/>
        </w:tcPr>
        <w:p w14:paraId="38EEE716" w14:textId="2BF73687" w:rsidR="00B16A7C" w:rsidRPr="001D4ED7" w:rsidRDefault="00B16A7C" w:rsidP="00E54461">
          <w:pPr>
            <w:pStyle w:val="Kopfzeile"/>
            <w:rPr>
              <w:lang w:val="en-GB"/>
            </w:rPr>
          </w:pPr>
        </w:p>
      </w:tc>
    </w:tr>
    <w:tr w:rsidR="00B16A7C" w:rsidRPr="00AB24EA" w14:paraId="74D6EF36" w14:textId="77777777" w:rsidTr="00C069DE">
      <w:tc>
        <w:tcPr>
          <w:tcW w:w="2521" w:type="pct"/>
        </w:tcPr>
        <w:p w14:paraId="3F6212AF" w14:textId="0415E880" w:rsidR="00B16A7C" w:rsidRPr="005F16D1" w:rsidRDefault="00B16A7C" w:rsidP="00E54461">
          <w:pPr>
            <w:pStyle w:val="Kopfzeile"/>
            <w:rPr>
              <w:lang w:val="en-US"/>
            </w:rPr>
          </w:pPr>
        </w:p>
      </w:tc>
      <w:tc>
        <w:tcPr>
          <w:tcW w:w="1261" w:type="pct"/>
        </w:tcPr>
        <w:p w14:paraId="3073A6EE" w14:textId="03DE5956" w:rsidR="00B16A7C" w:rsidRPr="001D4ED7" w:rsidRDefault="00B16A7C" w:rsidP="00E54461">
          <w:pPr>
            <w:pStyle w:val="Kopfzeile"/>
            <w:rPr>
              <w:lang w:val="en-GB"/>
            </w:rPr>
          </w:pPr>
        </w:p>
      </w:tc>
      <w:tc>
        <w:tcPr>
          <w:tcW w:w="1218" w:type="pct"/>
          <w:gridSpan w:val="2"/>
        </w:tcPr>
        <w:p w14:paraId="5FD7CCC1" w14:textId="241CE733" w:rsidR="00B16A7C" w:rsidRPr="001D4ED7" w:rsidRDefault="00B16A7C" w:rsidP="00E54461">
          <w:pPr>
            <w:pStyle w:val="Kopfzeile"/>
            <w:rPr>
              <w:lang w:val="en-GB"/>
            </w:rPr>
          </w:pPr>
        </w:p>
      </w:tc>
    </w:tr>
  </w:tbl>
  <w:p w14:paraId="74A3E86B" w14:textId="77777777" w:rsidR="00B16A7C" w:rsidRPr="005F16D1" w:rsidRDefault="00B16A7C">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unaton"/>
      <w:tblW w:w="5000" w:type="pct"/>
      <w:tblLayout w:type="fixed"/>
      <w:tblCellMar>
        <w:left w:w="0" w:type="dxa"/>
      </w:tblCellMar>
      <w:tblLook w:val="04A0" w:firstRow="1" w:lastRow="0" w:firstColumn="1" w:lastColumn="0" w:noHBand="0" w:noVBand="1"/>
    </w:tblPr>
    <w:tblGrid>
      <w:gridCol w:w="4859"/>
      <w:gridCol w:w="2431"/>
      <w:gridCol w:w="1396"/>
      <w:gridCol w:w="952"/>
    </w:tblGrid>
    <w:tr w:rsidR="00B16A7C" w14:paraId="700E04C7" w14:textId="77777777" w:rsidTr="00C069DE">
      <w:tc>
        <w:tcPr>
          <w:tcW w:w="2521" w:type="pct"/>
        </w:tcPr>
        <w:p w14:paraId="5E595094" w14:textId="37A6E8B2" w:rsidR="00B16A7C" w:rsidRPr="00836454" w:rsidRDefault="00B16A7C" w:rsidP="00A43A44">
          <w:pPr>
            <w:pStyle w:val="Kopfzeile"/>
            <w:rPr>
              <w:b/>
              <w:lang w:val="en-US"/>
            </w:rPr>
          </w:pPr>
        </w:p>
      </w:tc>
      <w:tc>
        <w:tcPr>
          <w:tcW w:w="1261" w:type="pct"/>
        </w:tcPr>
        <w:p w14:paraId="23751BBA" w14:textId="179ABDE7" w:rsidR="00B16A7C" w:rsidRPr="001D4ED7" w:rsidRDefault="00B16A7C" w:rsidP="00A43A44">
          <w:pPr>
            <w:pStyle w:val="Kopfzeile"/>
            <w:rPr>
              <w:b/>
              <w:lang w:val="en-GB"/>
            </w:rPr>
          </w:pPr>
        </w:p>
      </w:tc>
      <w:tc>
        <w:tcPr>
          <w:tcW w:w="724" w:type="pct"/>
        </w:tcPr>
        <w:p w14:paraId="5EB57FDE" w14:textId="584FCE81" w:rsidR="00B16A7C" w:rsidRPr="005F16D1" w:rsidRDefault="00B16A7C" w:rsidP="00A43A44">
          <w:pPr>
            <w:pStyle w:val="Kopfzeile"/>
            <w:rPr>
              <w:lang w:val="en-US"/>
            </w:rPr>
          </w:pPr>
        </w:p>
      </w:tc>
      <w:tc>
        <w:tcPr>
          <w:tcW w:w="494" w:type="pct"/>
        </w:tcPr>
        <w:p w14:paraId="73F7448F" w14:textId="47CCD617" w:rsidR="00B16A7C" w:rsidRDefault="00B16A7C" w:rsidP="00A43A44">
          <w:pPr>
            <w:pStyle w:val="Kopfzeile"/>
            <w:jc w:val="right"/>
          </w:pPr>
          <w:r>
            <w:fldChar w:fldCharType="begin"/>
          </w:r>
          <w:r>
            <w:instrText xml:space="preserve"> PAGE   \* MERGEFORMAT </w:instrText>
          </w:r>
          <w:r>
            <w:fldChar w:fldCharType="separate"/>
          </w:r>
          <w:r>
            <w:rPr>
              <w:noProof/>
            </w:rPr>
            <w:t>1</w:t>
          </w:r>
          <w:r>
            <w:rPr>
              <w:noProof/>
            </w:rPr>
            <w:t>0</w:t>
          </w:r>
          <w:r>
            <w:rPr>
              <w:noProof/>
            </w:rPr>
            <w:fldChar w:fldCharType="end"/>
          </w:r>
          <w:r>
            <w:t xml:space="preserve"> </w:t>
          </w:r>
        </w:p>
      </w:tc>
    </w:tr>
    <w:tr w:rsidR="00B16A7C" w14:paraId="1744D2FD" w14:textId="77777777" w:rsidTr="00C069DE">
      <w:tc>
        <w:tcPr>
          <w:tcW w:w="2521" w:type="pct"/>
        </w:tcPr>
        <w:p w14:paraId="64DA369C" w14:textId="77777777" w:rsidR="00B16A7C" w:rsidRPr="00D563B8" w:rsidRDefault="00B16A7C" w:rsidP="00A43A44">
          <w:pPr>
            <w:pStyle w:val="Kopfzeile"/>
            <w:rPr>
              <w:lang w:val="sv-SE"/>
            </w:rPr>
          </w:pPr>
        </w:p>
      </w:tc>
      <w:tc>
        <w:tcPr>
          <w:tcW w:w="1261" w:type="pct"/>
        </w:tcPr>
        <w:p w14:paraId="226DE34D" w14:textId="5455F46A" w:rsidR="00B16A7C" w:rsidRPr="001D4ED7" w:rsidRDefault="00B16A7C" w:rsidP="00A43A44">
          <w:pPr>
            <w:pStyle w:val="Kopfzeile"/>
            <w:rPr>
              <w:lang w:val="en-GB"/>
            </w:rPr>
          </w:pPr>
        </w:p>
      </w:tc>
      <w:tc>
        <w:tcPr>
          <w:tcW w:w="1218" w:type="pct"/>
          <w:gridSpan w:val="2"/>
        </w:tcPr>
        <w:p w14:paraId="6CB5D8A3" w14:textId="7625F612" w:rsidR="00B16A7C" w:rsidRPr="001D19F9" w:rsidRDefault="00B16A7C" w:rsidP="00A43A44">
          <w:pPr>
            <w:pStyle w:val="Kopfzeile"/>
          </w:pPr>
        </w:p>
      </w:tc>
    </w:tr>
    <w:tr w:rsidR="00B16A7C" w14:paraId="677F037B" w14:textId="77777777" w:rsidTr="00C069DE">
      <w:tc>
        <w:tcPr>
          <w:tcW w:w="2521" w:type="pct"/>
        </w:tcPr>
        <w:p w14:paraId="465EEB6F" w14:textId="70816682" w:rsidR="00B16A7C" w:rsidRPr="00D563B8" w:rsidRDefault="00B16A7C" w:rsidP="00A43A44">
          <w:pPr>
            <w:pStyle w:val="Kopfzeile"/>
            <w:rPr>
              <w:lang w:val="sv-SE"/>
            </w:rPr>
          </w:pPr>
        </w:p>
      </w:tc>
      <w:tc>
        <w:tcPr>
          <w:tcW w:w="1261" w:type="pct"/>
        </w:tcPr>
        <w:p w14:paraId="427ACBA7" w14:textId="72D19CEF" w:rsidR="00B16A7C" w:rsidRPr="001D4ED7" w:rsidRDefault="00B16A7C" w:rsidP="00A43A44">
          <w:pPr>
            <w:pStyle w:val="Kopfzeile"/>
            <w:rPr>
              <w:lang w:val="en-GB"/>
            </w:rPr>
          </w:pPr>
        </w:p>
      </w:tc>
      <w:tc>
        <w:tcPr>
          <w:tcW w:w="1218" w:type="pct"/>
          <w:gridSpan w:val="2"/>
        </w:tcPr>
        <w:p w14:paraId="7BE3A6B2" w14:textId="4DE4D05F" w:rsidR="00B16A7C" w:rsidRPr="001D4ED7" w:rsidRDefault="00B16A7C" w:rsidP="00A43A44">
          <w:pPr>
            <w:pStyle w:val="Kopfzeile"/>
            <w:rPr>
              <w:lang w:val="en-GB"/>
            </w:rPr>
          </w:pPr>
        </w:p>
      </w:tc>
    </w:tr>
    <w:tr w:rsidR="00B16A7C" w14:paraId="5187CFC7" w14:textId="77777777" w:rsidTr="00C069DE">
      <w:tc>
        <w:tcPr>
          <w:tcW w:w="2521" w:type="pct"/>
        </w:tcPr>
        <w:p w14:paraId="0EB5799A" w14:textId="5143B485" w:rsidR="00B16A7C" w:rsidRPr="001D19F9" w:rsidRDefault="00B16A7C" w:rsidP="00A43A44">
          <w:pPr>
            <w:pStyle w:val="Kopfzeile"/>
          </w:pPr>
        </w:p>
      </w:tc>
      <w:tc>
        <w:tcPr>
          <w:tcW w:w="1261" w:type="pct"/>
        </w:tcPr>
        <w:p w14:paraId="6306BC58" w14:textId="6FC50C13" w:rsidR="00B16A7C" w:rsidRPr="001D4ED7" w:rsidRDefault="00B16A7C" w:rsidP="00A43A44">
          <w:pPr>
            <w:pStyle w:val="Kopfzeile"/>
            <w:rPr>
              <w:lang w:val="en-GB"/>
            </w:rPr>
          </w:pPr>
        </w:p>
      </w:tc>
      <w:tc>
        <w:tcPr>
          <w:tcW w:w="1218" w:type="pct"/>
          <w:gridSpan w:val="2"/>
        </w:tcPr>
        <w:p w14:paraId="14746D0A" w14:textId="6B278F6A" w:rsidR="00B16A7C" w:rsidRPr="001D4ED7" w:rsidRDefault="00B16A7C" w:rsidP="00A43A44">
          <w:pPr>
            <w:pStyle w:val="Kopfzeile"/>
            <w:rPr>
              <w:lang w:val="en-GB"/>
            </w:rPr>
          </w:pPr>
        </w:p>
      </w:tc>
    </w:tr>
  </w:tbl>
  <w:p w14:paraId="1AFA28DC" w14:textId="77777777" w:rsidR="00B16A7C" w:rsidRDefault="00B16A7C" w:rsidP="00815A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6E033B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8FA6630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F24DA6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F1ED2B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1A0977"/>
    <w:multiLevelType w:val="multilevel"/>
    <w:tmpl w:val="36DC0002"/>
    <w:styleLink w:val="NumeroituluetteloSTUK"/>
    <w:lvl w:ilvl="0">
      <w:start w:val="1"/>
      <w:numFmt w:val="decimal"/>
      <w:pStyle w:val="Listennummer"/>
      <w:lvlText w:val="%1."/>
      <w:lvlJc w:val="left"/>
      <w:pPr>
        <w:ind w:left="1701" w:hanging="397"/>
      </w:pPr>
      <w:rPr>
        <w:rFonts w:hint="default"/>
      </w:rPr>
    </w:lvl>
    <w:lvl w:ilvl="1">
      <w:start w:val="1"/>
      <w:numFmt w:val="bullet"/>
      <w:lvlText w:val="–"/>
      <w:lvlJc w:val="left"/>
      <w:pPr>
        <w:ind w:left="2098" w:hanging="397"/>
      </w:pPr>
      <w:rPr>
        <w:rFonts w:ascii="Cambria" w:hAnsi="Cambria" w:hint="default"/>
      </w:rPr>
    </w:lvl>
    <w:lvl w:ilvl="2">
      <w:start w:val="1"/>
      <w:numFmt w:val="bullet"/>
      <w:lvlText w:val=""/>
      <w:lvlJc w:val="left"/>
      <w:pPr>
        <w:ind w:left="2495" w:hanging="397"/>
      </w:pPr>
      <w:rPr>
        <w:rFonts w:ascii="Wingdings" w:hAnsi="Wingdings" w:hint="default"/>
      </w:rPr>
    </w:lvl>
    <w:lvl w:ilvl="3">
      <w:start w:val="1"/>
      <w:numFmt w:val="bullet"/>
      <w:lvlText w:val="•"/>
      <w:lvlJc w:val="left"/>
      <w:pPr>
        <w:ind w:left="2892" w:hanging="397"/>
      </w:pPr>
      <w:rPr>
        <w:rFonts w:ascii="Cambria" w:hAnsi="Cambria" w:hint="default"/>
      </w:rPr>
    </w:lvl>
    <w:lvl w:ilvl="4">
      <w:start w:val="1"/>
      <w:numFmt w:val="bullet"/>
      <w:lvlText w:val="–"/>
      <w:lvlJc w:val="left"/>
      <w:pPr>
        <w:ind w:left="3289" w:hanging="397"/>
      </w:pPr>
      <w:rPr>
        <w:rFonts w:ascii="Cambria" w:hAnsi="Cambria" w:hint="default"/>
      </w:rPr>
    </w:lvl>
    <w:lvl w:ilvl="5">
      <w:start w:val="1"/>
      <w:numFmt w:val="bullet"/>
      <w:lvlText w:val=""/>
      <w:lvlJc w:val="left"/>
      <w:pPr>
        <w:ind w:left="3686" w:hanging="397"/>
      </w:pPr>
      <w:rPr>
        <w:rFonts w:ascii="Wingdings" w:hAnsi="Wingdings" w:hint="default"/>
      </w:rPr>
    </w:lvl>
    <w:lvl w:ilvl="6">
      <w:start w:val="1"/>
      <w:numFmt w:val="bullet"/>
      <w:lvlText w:val="•"/>
      <w:lvlJc w:val="left"/>
      <w:pPr>
        <w:ind w:left="4083" w:hanging="397"/>
      </w:pPr>
      <w:rPr>
        <w:rFonts w:ascii="Cambria" w:hAnsi="Cambria" w:hint="default"/>
      </w:rPr>
    </w:lvl>
    <w:lvl w:ilvl="7">
      <w:start w:val="1"/>
      <w:numFmt w:val="bullet"/>
      <w:lvlText w:val="–"/>
      <w:lvlJc w:val="left"/>
      <w:pPr>
        <w:ind w:left="4480" w:hanging="397"/>
      </w:pPr>
      <w:rPr>
        <w:rFonts w:ascii="Cambria" w:hAnsi="Cambria" w:hint="default"/>
      </w:rPr>
    </w:lvl>
    <w:lvl w:ilvl="8">
      <w:start w:val="1"/>
      <w:numFmt w:val="bullet"/>
      <w:lvlText w:val=""/>
      <w:lvlJc w:val="left"/>
      <w:pPr>
        <w:ind w:left="4877" w:hanging="397"/>
      </w:pPr>
      <w:rPr>
        <w:rFonts w:ascii="Wingdings" w:hAnsi="Wingdings" w:hint="default"/>
      </w:rPr>
    </w:lvl>
  </w:abstractNum>
  <w:abstractNum w:abstractNumId="5" w15:restartNumberingAfterBreak="0">
    <w:nsid w:val="0BE635A1"/>
    <w:multiLevelType w:val="multilevel"/>
    <w:tmpl w:val="ACEEC7CC"/>
    <w:styleLink w:val="MerkittyluetteloSTUK"/>
    <w:lvl w:ilvl="0">
      <w:start w:val="1"/>
      <w:numFmt w:val="bullet"/>
      <w:pStyle w:val="Aufzhlungszeichen"/>
      <w:lvlText w:val="•"/>
      <w:lvlJc w:val="left"/>
      <w:pPr>
        <w:ind w:left="1701" w:hanging="397"/>
      </w:pPr>
      <w:rPr>
        <w:rFonts w:ascii="Cambria" w:hAnsi="Cambria" w:hint="default"/>
      </w:rPr>
    </w:lvl>
    <w:lvl w:ilvl="1">
      <w:start w:val="1"/>
      <w:numFmt w:val="bullet"/>
      <w:lvlText w:val="–"/>
      <w:lvlJc w:val="left"/>
      <w:pPr>
        <w:ind w:left="2098" w:hanging="397"/>
      </w:pPr>
      <w:rPr>
        <w:rFonts w:ascii="Cambria" w:hAnsi="Cambria" w:hint="default"/>
      </w:rPr>
    </w:lvl>
    <w:lvl w:ilvl="2">
      <w:start w:val="1"/>
      <w:numFmt w:val="bullet"/>
      <w:lvlText w:val=""/>
      <w:lvlJc w:val="left"/>
      <w:pPr>
        <w:ind w:left="2495" w:hanging="397"/>
      </w:pPr>
      <w:rPr>
        <w:rFonts w:ascii="Wingdings" w:hAnsi="Wingdings" w:hint="default"/>
      </w:rPr>
    </w:lvl>
    <w:lvl w:ilvl="3">
      <w:start w:val="1"/>
      <w:numFmt w:val="bullet"/>
      <w:lvlText w:val="•"/>
      <w:lvlJc w:val="left"/>
      <w:pPr>
        <w:ind w:left="2892" w:hanging="397"/>
      </w:pPr>
      <w:rPr>
        <w:rFonts w:ascii="Cambria" w:hAnsi="Cambria" w:hint="default"/>
      </w:rPr>
    </w:lvl>
    <w:lvl w:ilvl="4">
      <w:start w:val="1"/>
      <w:numFmt w:val="bullet"/>
      <w:lvlText w:val="–"/>
      <w:lvlJc w:val="left"/>
      <w:pPr>
        <w:ind w:left="3289" w:hanging="397"/>
      </w:pPr>
      <w:rPr>
        <w:rFonts w:ascii="Cambria" w:hAnsi="Cambria" w:hint="default"/>
      </w:rPr>
    </w:lvl>
    <w:lvl w:ilvl="5">
      <w:start w:val="1"/>
      <w:numFmt w:val="bullet"/>
      <w:lvlText w:val=""/>
      <w:lvlJc w:val="left"/>
      <w:pPr>
        <w:ind w:left="3686" w:hanging="397"/>
      </w:pPr>
      <w:rPr>
        <w:rFonts w:ascii="Wingdings" w:hAnsi="Wingdings" w:hint="default"/>
      </w:rPr>
    </w:lvl>
    <w:lvl w:ilvl="6">
      <w:start w:val="1"/>
      <w:numFmt w:val="bullet"/>
      <w:lvlText w:val="•"/>
      <w:lvlJc w:val="left"/>
      <w:pPr>
        <w:ind w:left="4083" w:hanging="397"/>
      </w:pPr>
      <w:rPr>
        <w:rFonts w:ascii="Cambria" w:hAnsi="Cambria" w:hint="default"/>
      </w:rPr>
    </w:lvl>
    <w:lvl w:ilvl="7">
      <w:start w:val="1"/>
      <w:numFmt w:val="bullet"/>
      <w:lvlText w:val="–"/>
      <w:lvlJc w:val="left"/>
      <w:pPr>
        <w:ind w:left="4480" w:hanging="397"/>
      </w:pPr>
      <w:rPr>
        <w:rFonts w:ascii="Cambria" w:hAnsi="Cambria" w:hint="default"/>
      </w:rPr>
    </w:lvl>
    <w:lvl w:ilvl="8">
      <w:start w:val="1"/>
      <w:numFmt w:val="bullet"/>
      <w:lvlText w:val=""/>
      <w:lvlJc w:val="left"/>
      <w:pPr>
        <w:ind w:left="4877" w:hanging="397"/>
      </w:pPr>
      <w:rPr>
        <w:rFonts w:ascii="Wingdings" w:hAnsi="Wingdings" w:hint="default"/>
      </w:rPr>
    </w:lvl>
  </w:abstractNum>
  <w:abstractNum w:abstractNumId="6" w15:restartNumberingAfterBreak="0">
    <w:nsid w:val="18996B71"/>
    <w:multiLevelType w:val="multilevel"/>
    <w:tmpl w:val="8CAAFFB6"/>
    <w:styleLink w:val="Stuknumeroituluettelo2"/>
    <w:lvl w:ilvl="0">
      <w:start w:val="1"/>
      <w:numFmt w:val="decimal"/>
      <w:pStyle w:val="Listennummer2"/>
      <w:lvlText w:val="%1."/>
      <w:lvlJc w:val="left"/>
      <w:pPr>
        <w:ind w:left="1701" w:hanging="397"/>
      </w:pPr>
      <w:rPr>
        <w:rFonts w:hint="default"/>
      </w:rPr>
    </w:lvl>
    <w:lvl w:ilvl="1">
      <w:start w:val="1"/>
      <w:numFmt w:val="decimal"/>
      <w:suff w:val="space"/>
      <w:lvlText w:val="%1.%2."/>
      <w:lvlJc w:val="left"/>
      <w:pPr>
        <w:ind w:left="2098" w:hanging="397"/>
      </w:pPr>
      <w:rPr>
        <w:rFonts w:hint="default"/>
      </w:rPr>
    </w:lvl>
    <w:lvl w:ilvl="2">
      <w:start w:val="1"/>
      <w:numFmt w:val="decimal"/>
      <w:suff w:val="space"/>
      <w:lvlText w:val="%1.%2.%3."/>
      <w:lvlJc w:val="left"/>
      <w:pPr>
        <w:ind w:left="2495" w:hanging="397"/>
      </w:pPr>
      <w:rPr>
        <w:rFonts w:hint="default"/>
      </w:rPr>
    </w:lvl>
    <w:lvl w:ilvl="3">
      <w:start w:val="1"/>
      <w:numFmt w:val="decimal"/>
      <w:suff w:val="space"/>
      <w:lvlText w:val="%1.%2.%3.%4."/>
      <w:lvlJc w:val="left"/>
      <w:pPr>
        <w:ind w:left="2892" w:hanging="397"/>
      </w:pPr>
      <w:rPr>
        <w:rFonts w:hint="default"/>
      </w:rPr>
    </w:lvl>
    <w:lvl w:ilvl="4">
      <w:start w:val="1"/>
      <w:numFmt w:val="decimal"/>
      <w:suff w:val="space"/>
      <w:lvlText w:val="%1.%2.%3.%4.%5."/>
      <w:lvlJc w:val="left"/>
      <w:pPr>
        <w:ind w:left="3289" w:hanging="397"/>
      </w:pPr>
      <w:rPr>
        <w:rFonts w:hint="default"/>
      </w:rPr>
    </w:lvl>
    <w:lvl w:ilvl="5">
      <w:start w:val="1"/>
      <w:numFmt w:val="decimal"/>
      <w:suff w:val="space"/>
      <w:lvlText w:val="%1.%2.%3.%4.%5.%6."/>
      <w:lvlJc w:val="left"/>
      <w:pPr>
        <w:ind w:left="3686" w:hanging="397"/>
      </w:pPr>
      <w:rPr>
        <w:rFonts w:hint="default"/>
      </w:rPr>
    </w:lvl>
    <w:lvl w:ilvl="6">
      <w:start w:val="1"/>
      <w:numFmt w:val="decimal"/>
      <w:suff w:val="space"/>
      <w:lvlText w:val="%1.%2.%3.%4.%5.%6.%7."/>
      <w:lvlJc w:val="left"/>
      <w:pPr>
        <w:ind w:left="4083" w:hanging="397"/>
      </w:pPr>
      <w:rPr>
        <w:rFonts w:hint="default"/>
      </w:rPr>
    </w:lvl>
    <w:lvl w:ilvl="7">
      <w:start w:val="1"/>
      <w:numFmt w:val="decimal"/>
      <w:suff w:val="space"/>
      <w:lvlText w:val="%1.%2.%3.%4.%5.%6.%7.%8."/>
      <w:lvlJc w:val="left"/>
      <w:pPr>
        <w:ind w:left="4480" w:hanging="397"/>
      </w:pPr>
      <w:rPr>
        <w:rFonts w:hint="default"/>
      </w:rPr>
    </w:lvl>
    <w:lvl w:ilvl="8">
      <w:start w:val="1"/>
      <w:numFmt w:val="decimal"/>
      <w:suff w:val="space"/>
      <w:lvlText w:val="%1.%2.%3.%4.%5.%6.%7.%8.%9"/>
      <w:lvlJc w:val="left"/>
      <w:pPr>
        <w:ind w:left="4877" w:hanging="397"/>
      </w:pPr>
      <w:rPr>
        <w:rFonts w:hint="default"/>
      </w:rPr>
    </w:lvl>
  </w:abstractNum>
  <w:abstractNum w:abstractNumId="7" w15:restartNumberingAfterBreak="0">
    <w:nsid w:val="2E133F6A"/>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9E943BC"/>
    <w:multiLevelType w:val="multilevel"/>
    <w:tmpl w:val="CEECB684"/>
    <w:styleLink w:val="Numeroidutotsikot"/>
    <w:lvl w:ilvl="0">
      <w:start w:val="1"/>
      <w:numFmt w:val="decimal"/>
      <w:pStyle w:val="berschrift1"/>
      <w:lvlText w:val="%1"/>
      <w:lvlJc w:val="left"/>
      <w:pPr>
        <w:ind w:left="1304" w:hanging="1304"/>
      </w:pPr>
      <w:rPr>
        <w:rFonts w:hint="default"/>
      </w:rPr>
    </w:lvl>
    <w:lvl w:ilvl="1">
      <w:start w:val="1"/>
      <w:numFmt w:val="decimal"/>
      <w:pStyle w:val="berschrift2"/>
      <w:lvlText w:val="%1.%2"/>
      <w:lvlJc w:val="left"/>
      <w:pPr>
        <w:ind w:left="1304" w:hanging="1304"/>
      </w:pPr>
      <w:rPr>
        <w:rFonts w:hint="default"/>
      </w:rPr>
    </w:lvl>
    <w:lvl w:ilvl="2">
      <w:start w:val="1"/>
      <w:numFmt w:val="decimal"/>
      <w:pStyle w:val="berschrift3"/>
      <w:lvlText w:val="%1.%2.%3"/>
      <w:lvlJc w:val="left"/>
      <w:pPr>
        <w:ind w:left="1304" w:hanging="1304"/>
      </w:pPr>
      <w:rPr>
        <w:rFonts w:hint="default"/>
      </w:rPr>
    </w:lvl>
    <w:lvl w:ilvl="3">
      <w:start w:val="1"/>
      <w:numFmt w:val="decimal"/>
      <w:pStyle w:val="berschrift4"/>
      <w:lvlText w:val="%1.%2.%3.%4"/>
      <w:lvlJc w:val="left"/>
      <w:pPr>
        <w:ind w:left="1304" w:hanging="1304"/>
      </w:pPr>
      <w:rPr>
        <w:rFonts w:hint="default"/>
      </w:rPr>
    </w:lvl>
    <w:lvl w:ilvl="4">
      <w:start w:val="1"/>
      <w:numFmt w:val="decimal"/>
      <w:pStyle w:val="berschrift5"/>
      <w:lvlText w:val="%1.%2.%3.%4.%5"/>
      <w:lvlJc w:val="left"/>
      <w:pPr>
        <w:ind w:left="1304" w:hanging="1304"/>
      </w:pPr>
      <w:rPr>
        <w:rFonts w:hint="default"/>
      </w:rPr>
    </w:lvl>
    <w:lvl w:ilvl="5">
      <w:start w:val="1"/>
      <w:numFmt w:val="decimal"/>
      <w:pStyle w:val="berschrift6"/>
      <w:lvlText w:val="%1.%2.%3.%4.%5.%6"/>
      <w:lvlJc w:val="left"/>
      <w:pPr>
        <w:ind w:left="1304" w:hanging="1304"/>
      </w:pPr>
      <w:rPr>
        <w:rFonts w:hint="default"/>
      </w:rPr>
    </w:lvl>
    <w:lvl w:ilvl="6">
      <w:start w:val="1"/>
      <w:numFmt w:val="decimal"/>
      <w:pStyle w:val="berschrift7"/>
      <w:lvlText w:val="%1.%2.%3.%4.%5.%6.%7"/>
      <w:lvlJc w:val="left"/>
      <w:pPr>
        <w:ind w:left="1304" w:hanging="1304"/>
      </w:pPr>
      <w:rPr>
        <w:rFonts w:hint="default"/>
      </w:rPr>
    </w:lvl>
    <w:lvl w:ilvl="7">
      <w:start w:val="1"/>
      <w:numFmt w:val="decimal"/>
      <w:pStyle w:val="berschrift8"/>
      <w:lvlText w:val="%1.%2.%3.%4.%5.%6.%7.%8"/>
      <w:lvlJc w:val="left"/>
      <w:pPr>
        <w:ind w:left="1304" w:hanging="1304"/>
      </w:pPr>
      <w:rPr>
        <w:rFonts w:hint="default"/>
      </w:rPr>
    </w:lvl>
    <w:lvl w:ilvl="8">
      <w:start w:val="1"/>
      <w:numFmt w:val="decimal"/>
      <w:pStyle w:val="berschrift9"/>
      <w:lvlText w:val="%1.%2.%3.%4.%5.%6.%7.%8.%9"/>
      <w:lvlJc w:val="left"/>
      <w:pPr>
        <w:ind w:left="1304" w:hanging="1304"/>
      </w:pPr>
      <w:rPr>
        <w:rFonts w:hint="default"/>
      </w:rPr>
    </w:lvl>
  </w:abstractNum>
  <w:abstractNum w:abstractNumId="9" w15:restartNumberingAfterBreak="0">
    <w:nsid w:val="4AA84E5A"/>
    <w:multiLevelType w:val="multilevel"/>
    <w:tmpl w:val="57E2D19C"/>
    <w:styleLink w:val="Stukmerkittyluettelo2"/>
    <w:lvl w:ilvl="0">
      <w:start w:val="1"/>
      <w:numFmt w:val="bullet"/>
      <w:pStyle w:val="Aufzhlungszeichen2"/>
      <w:lvlText w:val="–"/>
      <w:lvlJc w:val="left"/>
      <w:pPr>
        <w:ind w:left="1701" w:hanging="397"/>
      </w:pPr>
      <w:rPr>
        <w:rFonts w:ascii="Cambria" w:hAnsi="Cambria" w:hint="default"/>
      </w:rPr>
    </w:lvl>
    <w:lvl w:ilvl="1">
      <w:start w:val="1"/>
      <w:numFmt w:val="bullet"/>
      <w:lvlText w:val="–"/>
      <w:lvlJc w:val="left"/>
      <w:pPr>
        <w:ind w:left="2098" w:hanging="397"/>
      </w:pPr>
      <w:rPr>
        <w:rFonts w:ascii="Cambria" w:hAnsi="Cambria" w:hint="default"/>
      </w:rPr>
    </w:lvl>
    <w:lvl w:ilvl="2">
      <w:start w:val="1"/>
      <w:numFmt w:val="bullet"/>
      <w:lvlText w:val="–"/>
      <w:lvlJc w:val="left"/>
      <w:pPr>
        <w:ind w:left="2495" w:hanging="397"/>
      </w:pPr>
      <w:rPr>
        <w:rFonts w:ascii="Cambria" w:hAnsi="Cambria" w:hint="default"/>
      </w:rPr>
    </w:lvl>
    <w:lvl w:ilvl="3">
      <w:start w:val="1"/>
      <w:numFmt w:val="bullet"/>
      <w:lvlText w:val="–"/>
      <w:lvlJc w:val="left"/>
      <w:pPr>
        <w:ind w:left="2892" w:hanging="397"/>
      </w:pPr>
      <w:rPr>
        <w:rFonts w:ascii="Cambria" w:hAnsi="Cambria" w:hint="default"/>
      </w:rPr>
    </w:lvl>
    <w:lvl w:ilvl="4">
      <w:start w:val="1"/>
      <w:numFmt w:val="bullet"/>
      <w:lvlText w:val="–"/>
      <w:lvlJc w:val="left"/>
      <w:pPr>
        <w:ind w:left="3289" w:hanging="397"/>
      </w:pPr>
      <w:rPr>
        <w:rFonts w:ascii="Cambria" w:hAnsi="Cambria" w:hint="default"/>
      </w:rPr>
    </w:lvl>
    <w:lvl w:ilvl="5">
      <w:start w:val="1"/>
      <w:numFmt w:val="bullet"/>
      <w:lvlText w:val="–"/>
      <w:lvlJc w:val="left"/>
      <w:pPr>
        <w:ind w:left="3686" w:hanging="397"/>
      </w:pPr>
      <w:rPr>
        <w:rFonts w:ascii="Cambria" w:hAnsi="Cambria" w:hint="default"/>
      </w:rPr>
    </w:lvl>
    <w:lvl w:ilvl="6">
      <w:start w:val="1"/>
      <w:numFmt w:val="bullet"/>
      <w:lvlText w:val="–"/>
      <w:lvlJc w:val="left"/>
      <w:pPr>
        <w:ind w:left="4083" w:hanging="397"/>
      </w:pPr>
      <w:rPr>
        <w:rFonts w:ascii="Cambria" w:hAnsi="Cambria" w:hint="default"/>
      </w:rPr>
    </w:lvl>
    <w:lvl w:ilvl="7">
      <w:start w:val="1"/>
      <w:numFmt w:val="bullet"/>
      <w:lvlText w:val="–"/>
      <w:lvlJc w:val="left"/>
      <w:pPr>
        <w:ind w:left="4480" w:hanging="397"/>
      </w:pPr>
      <w:rPr>
        <w:rFonts w:ascii="Cambria" w:hAnsi="Cambria" w:hint="default"/>
      </w:rPr>
    </w:lvl>
    <w:lvl w:ilvl="8">
      <w:start w:val="1"/>
      <w:numFmt w:val="bullet"/>
      <w:lvlText w:val="–"/>
      <w:lvlJc w:val="left"/>
      <w:pPr>
        <w:ind w:left="4877" w:hanging="397"/>
      </w:pPr>
      <w:rPr>
        <w:rFonts w:ascii="Cambria" w:hAnsi="Cambria" w:hint="default"/>
      </w:rPr>
    </w:lvl>
  </w:abstractNum>
  <w:abstractNum w:abstractNumId="10" w15:restartNumberingAfterBreak="0">
    <w:nsid w:val="4D100654"/>
    <w:multiLevelType w:val="hybridMultilevel"/>
    <w:tmpl w:val="39C8D20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D9475F7"/>
    <w:multiLevelType w:val="multilevel"/>
    <w:tmpl w:val="5D6C6640"/>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304" w:hanging="130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304" w:hanging="1304"/>
      </w:pPr>
      <w:rPr>
        <w:rFonts w:hint="default"/>
      </w:rPr>
    </w:lvl>
    <w:lvl w:ilvl="8">
      <w:start w:val="1"/>
      <w:numFmt w:val="decimal"/>
      <w:lvlText w:val="%1.%2.%3.%4.%5.%6.%7.%8.%9"/>
      <w:lvlJc w:val="left"/>
      <w:pPr>
        <w:ind w:left="1304" w:hanging="1304"/>
      </w:pPr>
      <w:rPr>
        <w:rFonts w:hint="default"/>
      </w:rPr>
    </w:lvl>
  </w:abstractNum>
  <w:abstractNum w:abstractNumId="12" w15:restartNumberingAfterBreak="0">
    <w:nsid w:val="4FB34551"/>
    <w:multiLevelType w:val="multilevel"/>
    <w:tmpl w:val="8CAAFFB6"/>
    <w:numStyleLink w:val="Stuknumeroituluettelo2"/>
  </w:abstractNum>
  <w:abstractNum w:abstractNumId="13" w15:restartNumberingAfterBreak="0">
    <w:nsid w:val="62A22655"/>
    <w:multiLevelType w:val="multilevel"/>
    <w:tmpl w:val="57E2D19C"/>
    <w:numStyleLink w:val="Stukmerkittyluettelo2"/>
  </w:abstractNum>
  <w:abstractNum w:abstractNumId="14" w15:restartNumberingAfterBreak="0">
    <w:nsid w:val="6D9130CD"/>
    <w:multiLevelType w:val="hybridMultilevel"/>
    <w:tmpl w:val="15EE9D8A"/>
    <w:lvl w:ilvl="0" w:tplc="43F8EDAA">
      <w:start w:val="250"/>
      <w:numFmt w:val="bullet"/>
      <w:lvlText w:val="-"/>
      <w:lvlJc w:val="left"/>
      <w:pPr>
        <w:ind w:left="720" w:hanging="360"/>
      </w:pPr>
      <w:rPr>
        <w:rFonts w:ascii="Cambria" w:eastAsiaTheme="minorHAnsi"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485046">
    <w:abstractNumId w:val="3"/>
  </w:num>
  <w:num w:numId="2" w16cid:durableId="1029182526">
    <w:abstractNumId w:val="2"/>
  </w:num>
  <w:num w:numId="3" w16cid:durableId="667176838">
    <w:abstractNumId w:val="5"/>
  </w:num>
  <w:num w:numId="4" w16cid:durableId="873270021">
    <w:abstractNumId w:val="7"/>
  </w:num>
  <w:num w:numId="5" w16cid:durableId="1035888582">
    <w:abstractNumId w:val="4"/>
  </w:num>
  <w:num w:numId="6" w16cid:durableId="137262437">
    <w:abstractNumId w:val="8"/>
  </w:num>
  <w:num w:numId="7" w16cid:durableId="175195788">
    <w:abstractNumId w:val="8"/>
  </w:num>
  <w:num w:numId="8" w16cid:durableId="886180096">
    <w:abstractNumId w:val="8"/>
  </w:num>
  <w:num w:numId="9" w16cid:durableId="268775773">
    <w:abstractNumId w:val="5"/>
  </w:num>
  <w:num w:numId="10" w16cid:durableId="913005063">
    <w:abstractNumId w:val="4"/>
  </w:num>
  <w:num w:numId="11" w16cid:durableId="1070226835">
    <w:abstractNumId w:val="11"/>
  </w:num>
  <w:num w:numId="12" w16cid:durableId="600256718">
    <w:abstractNumId w:val="11"/>
  </w:num>
  <w:num w:numId="13" w16cid:durableId="1210992292">
    <w:abstractNumId w:val="11"/>
  </w:num>
  <w:num w:numId="14" w16cid:durableId="214319912">
    <w:abstractNumId w:val="11"/>
  </w:num>
  <w:num w:numId="15" w16cid:durableId="742725165">
    <w:abstractNumId w:val="11"/>
  </w:num>
  <w:num w:numId="16" w16cid:durableId="73401795">
    <w:abstractNumId w:val="11"/>
  </w:num>
  <w:num w:numId="17" w16cid:durableId="1362971510">
    <w:abstractNumId w:val="11"/>
  </w:num>
  <w:num w:numId="18" w16cid:durableId="869221943">
    <w:abstractNumId w:val="11"/>
  </w:num>
  <w:num w:numId="19" w16cid:durableId="275795161">
    <w:abstractNumId w:val="11"/>
  </w:num>
  <w:num w:numId="20" w16cid:durableId="493958636">
    <w:abstractNumId w:val="5"/>
  </w:num>
  <w:num w:numId="21" w16cid:durableId="426120527">
    <w:abstractNumId w:val="1"/>
  </w:num>
  <w:num w:numId="22" w16cid:durableId="991063423">
    <w:abstractNumId w:val="9"/>
  </w:num>
  <w:num w:numId="23" w16cid:durableId="554512530">
    <w:abstractNumId w:val="4"/>
  </w:num>
  <w:num w:numId="24" w16cid:durableId="1143963532">
    <w:abstractNumId w:val="0"/>
  </w:num>
  <w:num w:numId="25" w16cid:durableId="2073766317">
    <w:abstractNumId w:val="6"/>
  </w:num>
  <w:num w:numId="26" w16cid:durableId="1030061716">
    <w:abstractNumId w:val="5"/>
  </w:num>
  <w:num w:numId="27" w16cid:durableId="1497839075">
    <w:abstractNumId w:val="8"/>
  </w:num>
  <w:num w:numId="28" w16cid:durableId="1720087084">
    <w:abstractNumId w:val="4"/>
  </w:num>
  <w:num w:numId="29" w16cid:durableId="273053072">
    <w:abstractNumId w:val="9"/>
  </w:num>
  <w:num w:numId="30" w16cid:durableId="1238856851">
    <w:abstractNumId w:val="6"/>
  </w:num>
  <w:num w:numId="31" w16cid:durableId="1156413660">
    <w:abstractNumId w:val="5"/>
  </w:num>
  <w:num w:numId="32" w16cid:durableId="1256355606">
    <w:abstractNumId w:val="9"/>
  </w:num>
  <w:num w:numId="33" w16cid:durableId="996419840">
    <w:abstractNumId w:val="4"/>
  </w:num>
  <w:num w:numId="34" w16cid:durableId="169300037">
    <w:abstractNumId w:val="6"/>
  </w:num>
  <w:num w:numId="35" w16cid:durableId="2096321415">
    <w:abstractNumId w:val="5"/>
  </w:num>
  <w:num w:numId="36" w16cid:durableId="1550531536">
    <w:abstractNumId w:val="4"/>
  </w:num>
  <w:num w:numId="37" w16cid:durableId="121660693">
    <w:abstractNumId w:val="9"/>
  </w:num>
  <w:num w:numId="38" w16cid:durableId="551774110">
    <w:abstractNumId w:val="6"/>
  </w:num>
  <w:num w:numId="39" w16cid:durableId="1063411964">
    <w:abstractNumId w:val="13"/>
  </w:num>
  <w:num w:numId="40" w16cid:durableId="424108293">
    <w:abstractNumId w:val="12"/>
  </w:num>
  <w:num w:numId="41" w16cid:durableId="1172531329">
    <w:abstractNumId w:val="14"/>
  </w:num>
  <w:num w:numId="42" w16cid:durableId="1279722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4" w:dllVersion="6" w:nlCheck="1" w:checkStyle="0"/>
  <w:activeWritingStyle w:appName="MSWord" w:lang="en-US" w:vendorID="64" w:dllVersion="6" w:nlCheck="1" w:checkStyle="1"/>
  <w:activeWritingStyle w:appName="MSWord" w:lang="en-GB" w:vendorID="64" w:dllVersion="6" w:nlCheck="1" w:checkStyle="1"/>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ctiveWritingStyle w:appName="MSWord" w:lang="es-ES" w:vendorID="64" w:dllVersion="0" w:nlCheck="1" w:checkStyle="0"/>
  <w:activeWritingStyle w:appName="MSWord" w:lang="fr-CA" w:vendorID="64" w:dllVersion="6" w:nlCheck="1" w:checkStyle="1"/>
  <w:activeWritingStyle w:appName="MSWord" w:lang="es-ES" w:vendorID="64" w:dllVersion="6" w:nlCheck="1" w:checkStyle="1"/>
  <w:activeWritingStyle w:appName="MSWord" w:lang="fr-CA" w:vendorID="64" w:dllVersion="0" w:nlCheck="1" w:checkStyle="0"/>
  <w:activeWritingStyle w:appName="MSWord" w:lang="de-DE" w:vendorID="64" w:dllVersion="0" w:nlCheck="1" w:checkStyle="0"/>
  <w:proofState w:grammar="clean"/>
  <w:attachedTemplate r:id="rId1"/>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54"/>
    <w:rsid w:val="000021B7"/>
    <w:rsid w:val="00017C93"/>
    <w:rsid w:val="000218FF"/>
    <w:rsid w:val="000248F5"/>
    <w:rsid w:val="000278D0"/>
    <w:rsid w:val="000366EA"/>
    <w:rsid w:val="00041634"/>
    <w:rsid w:val="0004413F"/>
    <w:rsid w:val="00052233"/>
    <w:rsid w:val="000522B7"/>
    <w:rsid w:val="00055E82"/>
    <w:rsid w:val="00056E11"/>
    <w:rsid w:val="00057DA6"/>
    <w:rsid w:val="00060208"/>
    <w:rsid w:val="00061FF7"/>
    <w:rsid w:val="0006403C"/>
    <w:rsid w:val="00065A1D"/>
    <w:rsid w:val="0007535B"/>
    <w:rsid w:val="000778D4"/>
    <w:rsid w:val="0008549A"/>
    <w:rsid w:val="0008688D"/>
    <w:rsid w:val="00091509"/>
    <w:rsid w:val="00094AFF"/>
    <w:rsid w:val="000952BE"/>
    <w:rsid w:val="00095E28"/>
    <w:rsid w:val="00097040"/>
    <w:rsid w:val="000972EB"/>
    <w:rsid w:val="000A34A1"/>
    <w:rsid w:val="000A437A"/>
    <w:rsid w:val="000A46EE"/>
    <w:rsid w:val="000A4A41"/>
    <w:rsid w:val="000A6A1E"/>
    <w:rsid w:val="000A7326"/>
    <w:rsid w:val="000A7A72"/>
    <w:rsid w:val="000B21C2"/>
    <w:rsid w:val="000B2382"/>
    <w:rsid w:val="000B2EA3"/>
    <w:rsid w:val="000B306B"/>
    <w:rsid w:val="000B729B"/>
    <w:rsid w:val="000C5B6D"/>
    <w:rsid w:val="000C7127"/>
    <w:rsid w:val="000D0382"/>
    <w:rsid w:val="000D6750"/>
    <w:rsid w:val="000D6767"/>
    <w:rsid w:val="000D6C64"/>
    <w:rsid w:val="000E0D26"/>
    <w:rsid w:val="000E1749"/>
    <w:rsid w:val="000E4323"/>
    <w:rsid w:val="000E673A"/>
    <w:rsid w:val="000F26EF"/>
    <w:rsid w:val="000F5C53"/>
    <w:rsid w:val="00101AF0"/>
    <w:rsid w:val="00101B80"/>
    <w:rsid w:val="0010587B"/>
    <w:rsid w:val="00111E88"/>
    <w:rsid w:val="00126076"/>
    <w:rsid w:val="001267D8"/>
    <w:rsid w:val="00127278"/>
    <w:rsid w:val="001311EC"/>
    <w:rsid w:val="0013643B"/>
    <w:rsid w:val="0013725C"/>
    <w:rsid w:val="00141C2E"/>
    <w:rsid w:val="001420B6"/>
    <w:rsid w:val="0014319F"/>
    <w:rsid w:val="00143532"/>
    <w:rsid w:val="00144199"/>
    <w:rsid w:val="001568E9"/>
    <w:rsid w:val="00160310"/>
    <w:rsid w:val="00160D6E"/>
    <w:rsid w:val="00160DE5"/>
    <w:rsid w:val="00164288"/>
    <w:rsid w:val="001649E0"/>
    <w:rsid w:val="00165807"/>
    <w:rsid w:val="00166167"/>
    <w:rsid w:val="00171CE7"/>
    <w:rsid w:val="00171F4E"/>
    <w:rsid w:val="0018118B"/>
    <w:rsid w:val="00182BB2"/>
    <w:rsid w:val="00184309"/>
    <w:rsid w:val="0019207B"/>
    <w:rsid w:val="00195578"/>
    <w:rsid w:val="00196C16"/>
    <w:rsid w:val="001A5F41"/>
    <w:rsid w:val="001A62B4"/>
    <w:rsid w:val="001B19B6"/>
    <w:rsid w:val="001B2526"/>
    <w:rsid w:val="001B30BA"/>
    <w:rsid w:val="001B5F77"/>
    <w:rsid w:val="001B64DB"/>
    <w:rsid w:val="001C0CB1"/>
    <w:rsid w:val="001C12AF"/>
    <w:rsid w:val="001C164F"/>
    <w:rsid w:val="001C4745"/>
    <w:rsid w:val="001C4924"/>
    <w:rsid w:val="001C5CC1"/>
    <w:rsid w:val="001C6341"/>
    <w:rsid w:val="001C7EF8"/>
    <w:rsid w:val="001D19F9"/>
    <w:rsid w:val="001D3BC9"/>
    <w:rsid w:val="001D6D92"/>
    <w:rsid w:val="001E0C2F"/>
    <w:rsid w:val="001E1804"/>
    <w:rsid w:val="001E1D14"/>
    <w:rsid w:val="001E3A2C"/>
    <w:rsid w:val="001E4BD7"/>
    <w:rsid w:val="001E5EBE"/>
    <w:rsid w:val="001E7141"/>
    <w:rsid w:val="001F1E2E"/>
    <w:rsid w:val="001F4008"/>
    <w:rsid w:val="001F725C"/>
    <w:rsid w:val="00202558"/>
    <w:rsid w:val="00206E83"/>
    <w:rsid w:val="002077FB"/>
    <w:rsid w:val="00210E8C"/>
    <w:rsid w:val="00211014"/>
    <w:rsid w:val="00211D2E"/>
    <w:rsid w:val="0021236B"/>
    <w:rsid w:val="00213420"/>
    <w:rsid w:val="0021384B"/>
    <w:rsid w:val="00221C13"/>
    <w:rsid w:val="00222152"/>
    <w:rsid w:val="00222B85"/>
    <w:rsid w:val="00224A36"/>
    <w:rsid w:val="00224DB5"/>
    <w:rsid w:val="00232C04"/>
    <w:rsid w:val="00235992"/>
    <w:rsid w:val="0023710A"/>
    <w:rsid w:val="00247F5A"/>
    <w:rsid w:val="00256E12"/>
    <w:rsid w:val="0026055C"/>
    <w:rsid w:val="002626F5"/>
    <w:rsid w:val="00264799"/>
    <w:rsid w:val="00264A87"/>
    <w:rsid w:val="00265BCE"/>
    <w:rsid w:val="00271F07"/>
    <w:rsid w:val="00275A39"/>
    <w:rsid w:val="00281319"/>
    <w:rsid w:val="00281513"/>
    <w:rsid w:val="00285FB7"/>
    <w:rsid w:val="00286EB8"/>
    <w:rsid w:val="00287883"/>
    <w:rsid w:val="00290424"/>
    <w:rsid w:val="00293CEF"/>
    <w:rsid w:val="002963D4"/>
    <w:rsid w:val="002970FB"/>
    <w:rsid w:val="002A1214"/>
    <w:rsid w:val="002A3813"/>
    <w:rsid w:val="002A4BA7"/>
    <w:rsid w:val="002A6E7C"/>
    <w:rsid w:val="002B3584"/>
    <w:rsid w:val="002B3D82"/>
    <w:rsid w:val="002B70A9"/>
    <w:rsid w:val="002C2C98"/>
    <w:rsid w:val="002C3035"/>
    <w:rsid w:val="002C45F4"/>
    <w:rsid w:val="002C4914"/>
    <w:rsid w:val="002C707F"/>
    <w:rsid w:val="002D184E"/>
    <w:rsid w:val="002D24D7"/>
    <w:rsid w:val="002D2875"/>
    <w:rsid w:val="002D5303"/>
    <w:rsid w:val="002E623B"/>
    <w:rsid w:val="002E724B"/>
    <w:rsid w:val="002F0681"/>
    <w:rsid w:val="002F20E4"/>
    <w:rsid w:val="002F5E0D"/>
    <w:rsid w:val="003035EA"/>
    <w:rsid w:val="00305FDE"/>
    <w:rsid w:val="003063BA"/>
    <w:rsid w:val="00306FD9"/>
    <w:rsid w:val="00307CCD"/>
    <w:rsid w:val="00311D9B"/>
    <w:rsid w:val="0031221D"/>
    <w:rsid w:val="00315324"/>
    <w:rsid w:val="00315FFD"/>
    <w:rsid w:val="0032169B"/>
    <w:rsid w:val="00336775"/>
    <w:rsid w:val="00340FB8"/>
    <w:rsid w:val="00344BDA"/>
    <w:rsid w:val="003511DD"/>
    <w:rsid w:val="003527B8"/>
    <w:rsid w:val="00356B97"/>
    <w:rsid w:val="00360F13"/>
    <w:rsid w:val="00383D85"/>
    <w:rsid w:val="00385964"/>
    <w:rsid w:val="00390EB9"/>
    <w:rsid w:val="00392306"/>
    <w:rsid w:val="0039240F"/>
    <w:rsid w:val="00392CF0"/>
    <w:rsid w:val="00393E6B"/>
    <w:rsid w:val="00393F75"/>
    <w:rsid w:val="00395880"/>
    <w:rsid w:val="00396E56"/>
    <w:rsid w:val="003A1D66"/>
    <w:rsid w:val="003A4776"/>
    <w:rsid w:val="003A6F16"/>
    <w:rsid w:val="003B4971"/>
    <w:rsid w:val="003B4CED"/>
    <w:rsid w:val="003B51DC"/>
    <w:rsid w:val="003B5624"/>
    <w:rsid w:val="003B76B8"/>
    <w:rsid w:val="003C3D82"/>
    <w:rsid w:val="003D06F5"/>
    <w:rsid w:val="003D10F3"/>
    <w:rsid w:val="003D2091"/>
    <w:rsid w:val="003E6749"/>
    <w:rsid w:val="003E7EB3"/>
    <w:rsid w:val="003F2ABA"/>
    <w:rsid w:val="004008A8"/>
    <w:rsid w:val="00402604"/>
    <w:rsid w:val="004046D3"/>
    <w:rsid w:val="00407172"/>
    <w:rsid w:val="004076B0"/>
    <w:rsid w:val="004173B6"/>
    <w:rsid w:val="0042145F"/>
    <w:rsid w:val="004275DC"/>
    <w:rsid w:val="00433A2E"/>
    <w:rsid w:val="00433B00"/>
    <w:rsid w:val="0044082B"/>
    <w:rsid w:val="00441B5A"/>
    <w:rsid w:val="00441F45"/>
    <w:rsid w:val="00443CA8"/>
    <w:rsid w:val="00445551"/>
    <w:rsid w:val="0044680D"/>
    <w:rsid w:val="00447233"/>
    <w:rsid w:val="00447F41"/>
    <w:rsid w:val="00450604"/>
    <w:rsid w:val="00451D1A"/>
    <w:rsid w:val="00451D74"/>
    <w:rsid w:val="004527EC"/>
    <w:rsid w:val="004573A1"/>
    <w:rsid w:val="004617DE"/>
    <w:rsid w:val="00464D5D"/>
    <w:rsid w:val="0046516D"/>
    <w:rsid w:val="00472C2A"/>
    <w:rsid w:val="00480D5E"/>
    <w:rsid w:val="00481707"/>
    <w:rsid w:val="00482C44"/>
    <w:rsid w:val="00484A24"/>
    <w:rsid w:val="0048544A"/>
    <w:rsid w:val="00490E48"/>
    <w:rsid w:val="00492910"/>
    <w:rsid w:val="004A1329"/>
    <w:rsid w:val="004A1E8F"/>
    <w:rsid w:val="004A6E41"/>
    <w:rsid w:val="004A75ED"/>
    <w:rsid w:val="004B1793"/>
    <w:rsid w:val="004C0900"/>
    <w:rsid w:val="004C1D53"/>
    <w:rsid w:val="004C772E"/>
    <w:rsid w:val="004D5B23"/>
    <w:rsid w:val="004E5B58"/>
    <w:rsid w:val="004E5D70"/>
    <w:rsid w:val="004E7FA9"/>
    <w:rsid w:val="004F1022"/>
    <w:rsid w:val="004F1546"/>
    <w:rsid w:val="004F1ECF"/>
    <w:rsid w:val="004F228F"/>
    <w:rsid w:val="004F34EA"/>
    <w:rsid w:val="004F50EC"/>
    <w:rsid w:val="004F66FD"/>
    <w:rsid w:val="0050045C"/>
    <w:rsid w:val="00511812"/>
    <w:rsid w:val="00512BE0"/>
    <w:rsid w:val="005223EE"/>
    <w:rsid w:val="005264C2"/>
    <w:rsid w:val="00526C8F"/>
    <w:rsid w:val="00527969"/>
    <w:rsid w:val="0053268F"/>
    <w:rsid w:val="00533328"/>
    <w:rsid w:val="00534002"/>
    <w:rsid w:val="0053433D"/>
    <w:rsid w:val="00543FF0"/>
    <w:rsid w:val="00554D31"/>
    <w:rsid w:val="005625AD"/>
    <w:rsid w:val="005625B8"/>
    <w:rsid w:val="005628F3"/>
    <w:rsid w:val="00563654"/>
    <w:rsid w:val="00563EF7"/>
    <w:rsid w:val="00566E0A"/>
    <w:rsid w:val="00575421"/>
    <w:rsid w:val="005803BD"/>
    <w:rsid w:val="0058325C"/>
    <w:rsid w:val="00590EB9"/>
    <w:rsid w:val="005A021C"/>
    <w:rsid w:val="005A517C"/>
    <w:rsid w:val="005A7053"/>
    <w:rsid w:val="005B02D8"/>
    <w:rsid w:val="005B3C24"/>
    <w:rsid w:val="005B61C3"/>
    <w:rsid w:val="005B79BE"/>
    <w:rsid w:val="005C11C5"/>
    <w:rsid w:val="005C54F9"/>
    <w:rsid w:val="005D218B"/>
    <w:rsid w:val="005D3235"/>
    <w:rsid w:val="005D53E5"/>
    <w:rsid w:val="005E14A8"/>
    <w:rsid w:val="005E2687"/>
    <w:rsid w:val="005E4FD8"/>
    <w:rsid w:val="005F16D1"/>
    <w:rsid w:val="005F2E08"/>
    <w:rsid w:val="005F63DD"/>
    <w:rsid w:val="005F67E3"/>
    <w:rsid w:val="0060190B"/>
    <w:rsid w:val="00602422"/>
    <w:rsid w:val="00602C7E"/>
    <w:rsid w:val="00604412"/>
    <w:rsid w:val="006105C5"/>
    <w:rsid w:val="006145A2"/>
    <w:rsid w:val="0061559A"/>
    <w:rsid w:val="00615FF3"/>
    <w:rsid w:val="006226D2"/>
    <w:rsid w:val="00623346"/>
    <w:rsid w:val="00630BD2"/>
    <w:rsid w:val="006352B7"/>
    <w:rsid w:val="006442AA"/>
    <w:rsid w:val="006512CC"/>
    <w:rsid w:val="00655306"/>
    <w:rsid w:val="00660A3E"/>
    <w:rsid w:val="00662F0D"/>
    <w:rsid w:val="0066455D"/>
    <w:rsid w:val="006663F9"/>
    <w:rsid w:val="00671823"/>
    <w:rsid w:val="00674B95"/>
    <w:rsid w:val="00674E81"/>
    <w:rsid w:val="0067562B"/>
    <w:rsid w:val="006775EE"/>
    <w:rsid w:val="0068170F"/>
    <w:rsid w:val="0069005F"/>
    <w:rsid w:val="00690682"/>
    <w:rsid w:val="00693C19"/>
    <w:rsid w:val="00693E4F"/>
    <w:rsid w:val="00696620"/>
    <w:rsid w:val="006A40AA"/>
    <w:rsid w:val="006A4F45"/>
    <w:rsid w:val="006A5D6B"/>
    <w:rsid w:val="006A7436"/>
    <w:rsid w:val="006B3F42"/>
    <w:rsid w:val="006B6938"/>
    <w:rsid w:val="006C034A"/>
    <w:rsid w:val="006C1144"/>
    <w:rsid w:val="006C2F6D"/>
    <w:rsid w:val="006C36CC"/>
    <w:rsid w:val="006D066B"/>
    <w:rsid w:val="006D5D3B"/>
    <w:rsid w:val="006D7625"/>
    <w:rsid w:val="006E3D56"/>
    <w:rsid w:val="006E3F77"/>
    <w:rsid w:val="006E5896"/>
    <w:rsid w:val="006E6247"/>
    <w:rsid w:val="006F1CF9"/>
    <w:rsid w:val="006F4185"/>
    <w:rsid w:val="00700A10"/>
    <w:rsid w:val="007011BB"/>
    <w:rsid w:val="00701467"/>
    <w:rsid w:val="00701BAB"/>
    <w:rsid w:val="0071033C"/>
    <w:rsid w:val="007115BE"/>
    <w:rsid w:val="00712072"/>
    <w:rsid w:val="007143BE"/>
    <w:rsid w:val="00721094"/>
    <w:rsid w:val="007222AF"/>
    <w:rsid w:val="007322B2"/>
    <w:rsid w:val="00733AB5"/>
    <w:rsid w:val="00734044"/>
    <w:rsid w:val="007355DD"/>
    <w:rsid w:val="00735E58"/>
    <w:rsid w:val="00736465"/>
    <w:rsid w:val="00741B01"/>
    <w:rsid w:val="00745FD5"/>
    <w:rsid w:val="00752BF3"/>
    <w:rsid w:val="00755D07"/>
    <w:rsid w:val="00756BD6"/>
    <w:rsid w:val="00760989"/>
    <w:rsid w:val="00764D6E"/>
    <w:rsid w:val="00767846"/>
    <w:rsid w:val="00770965"/>
    <w:rsid w:val="00772CFC"/>
    <w:rsid w:val="00774CC6"/>
    <w:rsid w:val="00776150"/>
    <w:rsid w:val="00777110"/>
    <w:rsid w:val="0078144C"/>
    <w:rsid w:val="0078212D"/>
    <w:rsid w:val="00782747"/>
    <w:rsid w:val="0078632C"/>
    <w:rsid w:val="00787220"/>
    <w:rsid w:val="00790E10"/>
    <w:rsid w:val="007A2184"/>
    <w:rsid w:val="007A2D1D"/>
    <w:rsid w:val="007A7C16"/>
    <w:rsid w:val="007B05D2"/>
    <w:rsid w:val="007B0D89"/>
    <w:rsid w:val="007C02D9"/>
    <w:rsid w:val="007C1C58"/>
    <w:rsid w:val="007C25CC"/>
    <w:rsid w:val="007C322F"/>
    <w:rsid w:val="007C6ACC"/>
    <w:rsid w:val="007C72FF"/>
    <w:rsid w:val="007D1686"/>
    <w:rsid w:val="007D1A62"/>
    <w:rsid w:val="007D3105"/>
    <w:rsid w:val="007D48FE"/>
    <w:rsid w:val="007D7598"/>
    <w:rsid w:val="007E01C0"/>
    <w:rsid w:val="007E32EB"/>
    <w:rsid w:val="007E427C"/>
    <w:rsid w:val="007E605E"/>
    <w:rsid w:val="007E62D3"/>
    <w:rsid w:val="007E6E3F"/>
    <w:rsid w:val="007E769A"/>
    <w:rsid w:val="007F3B8C"/>
    <w:rsid w:val="00802BE7"/>
    <w:rsid w:val="00803572"/>
    <w:rsid w:val="00812383"/>
    <w:rsid w:val="00815190"/>
    <w:rsid w:val="00815A1F"/>
    <w:rsid w:val="00821AF1"/>
    <w:rsid w:val="00822C87"/>
    <w:rsid w:val="00825118"/>
    <w:rsid w:val="00831458"/>
    <w:rsid w:val="0083157D"/>
    <w:rsid w:val="00835E11"/>
    <w:rsid w:val="00836454"/>
    <w:rsid w:val="008369E8"/>
    <w:rsid w:val="00843D5F"/>
    <w:rsid w:val="0084550C"/>
    <w:rsid w:val="00845614"/>
    <w:rsid w:val="008522CB"/>
    <w:rsid w:val="00852CF2"/>
    <w:rsid w:val="008532FD"/>
    <w:rsid w:val="00853B92"/>
    <w:rsid w:val="00855B48"/>
    <w:rsid w:val="0086250A"/>
    <w:rsid w:val="008669F6"/>
    <w:rsid w:val="0086707F"/>
    <w:rsid w:val="00871C58"/>
    <w:rsid w:val="008723AD"/>
    <w:rsid w:val="0087646E"/>
    <w:rsid w:val="00882749"/>
    <w:rsid w:val="00885432"/>
    <w:rsid w:val="0088683B"/>
    <w:rsid w:val="008909F5"/>
    <w:rsid w:val="00890F3C"/>
    <w:rsid w:val="0089508F"/>
    <w:rsid w:val="008A57D6"/>
    <w:rsid w:val="008A6A39"/>
    <w:rsid w:val="008B6259"/>
    <w:rsid w:val="008C018E"/>
    <w:rsid w:val="008C0297"/>
    <w:rsid w:val="008C61BA"/>
    <w:rsid w:val="008D1240"/>
    <w:rsid w:val="008E009F"/>
    <w:rsid w:val="008E243C"/>
    <w:rsid w:val="008F31AB"/>
    <w:rsid w:val="008F3A2E"/>
    <w:rsid w:val="008F6A34"/>
    <w:rsid w:val="0090441B"/>
    <w:rsid w:val="009058E7"/>
    <w:rsid w:val="00905FB3"/>
    <w:rsid w:val="00907085"/>
    <w:rsid w:val="009123E3"/>
    <w:rsid w:val="00912532"/>
    <w:rsid w:val="009152C4"/>
    <w:rsid w:val="00925DE6"/>
    <w:rsid w:val="009261D0"/>
    <w:rsid w:val="00927F89"/>
    <w:rsid w:val="00932135"/>
    <w:rsid w:val="00934057"/>
    <w:rsid w:val="00934FF3"/>
    <w:rsid w:val="0094523B"/>
    <w:rsid w:val="009457FF"/>
    <w:rsid w:val="00945835"/>
    <w:rsid w:val="00945A42"/>
    <w:rsid w:val="0095462C"/>
    <w:rsid w:val="00956C2B"/>
    <w:rsid w:val="00960127"/>
    <w:rsid w:val="009624D7"/>
    <w:rsid w:val="0096326F"/>
    <w:rsid w:val="009639AD"/>
    <w:rsid w:val="0096652F"/>
    <w:rsid w:val="0097284B"/>
    <w:rsid w:val="00975E83"/>
    <w:rsid w:val="00976651"/>
    <w:rsid w:val="009807DB"/>
    <w:rsid w:val="00986A65"/>
    <w:rsid w:val="00990128"/>
    <w:rsid w:val="009935A8"/>
    <w:rsid w:val="009A1934"/>
    <w:rsid w:val="009A2D10"/>
    <w:rsid w:val="009A4A28"/>
    <w:rsid w:val="009B2C42"/>
    <w:rsid w:val="009C1DF5"/>
    <w:rsid w:val="009C4EE5"/>
    <w:rsid w:val="009C67D2"/>
    <w:rsid w:val="009D041B"/>
    <w:rsid w:val="009D1794"/>
    <w:rsid w:val="009D1B98"/>
    <w:rsid w:val="009D2744"/>
    <w:rsid w:val="009D3455"/>
    <w:rsid w:val="009D63E2"/>
    <w:rsid w:val="009F3FB5"/>
    <w:rsid w:val="009F681C"/>
    <w:rsid w:val="00A0024F"/>
    <w:rsid w:val="00A00DC7"/>
    <w:rsid w:val="00A016A4"/>
    <w:rsid w:val="00A0326D"/>
    <w:rsid w:val="00A03FF5"/>
    <w:rsid w:val="00A0737E"/>
    <w:rsid w:val="00A101CE"/>
    <w:rsid w:val="00A16914"/>
    <w:rsid w:val="00A335F4"/>
    <w:rsid w:val="00A33996"/>
    <w:rsid w:val="00A33CBD"/>
    <w:rsid w:val="00A3570A"/>
    <w:rsid w:val="00A370CD"/>
    <w:rsid w:val="00A43A44"/>
    <w:rsid w:val="00A53B5A"/>
    <w:rsid w:val="00A54B20"/>
    <w:rsid w:val="00A55FC6"/>
    <w:rsid w:val="00A61776"/>
    <w:rsid w:val="00A62F92"/>
    <w:rsid w:val="00A73553"/>
    <w:rsid w:val="00A7547D"/>
    <w:rsid w:val="00A7792D"/>
    <w:rsid w:val="00A845B0"/>
    <w:rsid w:val="00A85F84"/>
    <w:rsid w:val="00A9243F"/>
    <w:rsid w:val="00A92CA7"/>
    <w:rsid w:val="00A93F0D"/>
    <w:rsid w:val="00A946AF"/>
    <w:rsid w:val="00A96012"/>
    <w:rsid w:val="00AA21C3"/>
    <w:rsid w:val="00AB24EA"/>
    <w:rsid w:val="00AB4AA7"/>
    <w:rsid w:val="00AB5BAB"/>
    <w:rsid w:val="00AB6352"/>
    <w:rsid w:val="00AB771F"/>
    <w:rsid w:val="00AC3D57"/>
    <w:rsid w:val="00AC4D19"/>
    <w:rsid w:val="00AC530F"/>
    <w:rsid w:val="00AC570B"/>
    <w:rsid w:val="00AC5CD0"/>
    <w:rsid w:val="00AD31C6"/>
    <w:rsid w:val="00AD495F"/>
    <w:rsid w:val="00AD704F"/>
    <w:rsid w:val="00AE3355"/>
    <w:rsid w:val="00AE7A10"/>
    <w:rsid w:val="00AF269E"/>
    <w:rsid w:val="00AF2904"/>
    <w:rsid w:val="00AF3D33"/>
    <w:rsid w:val="00AF4AF4"/>
    <w:rsid w:val="00AF4D12"/>
    <w:rsid w:val="00AF5063"/>
    <w:rsid w:val="00AF7C41"/>
    <w:rsid w:val="00B0027D"/>
    <w:rsid w:val="00B02B01"/>
    <w:rsid w:val="00B03BFB"/>
    <w:rsid w:val="00B11A49"/>
    <w:rsid w:val="00B13BC9"/>
    <w:rsid w:val="00B14B71"/>
    <w:rsid w:val="00B16A7C"/>
    <w:rsid w:val="00B21097"/>
    <w:rsid w:val="00B31795"/>
    <w:rsid w:val="00B352BB"/>
    <w:rsid w:val="00B412C3"/>
    <w:rsid w:val="00B46768"/>
    <w:rsid w:val="00B65039"/>
    <w:rsid w:val="00B71759"/>
    <w:rsid w:val="00B72FE7"/>
    <w:rsid w:val="00B77396"/>
    <w:rsid w:val="00B90AB0"/>
    <w:rsid w:val="00B95CAC"/>
    <w:rsid w:val="00BA1FAA"/>
    <w:rsid w:val="00BA2C1B"/>
    <w:rsid w:val="00BA50AA"/>
    <w:rsid w:val="00BA6706"/>
    <w:rsid w:val="00BB0ECB"/>
    <w:rsid w:val="00BB1919"/>
    <w:rsid w:val="00BB76BF"/>
    <w:rsid w:val="00BB7AD0"/>
    <w:rsid w:val="00BD09A2"/>
    <w:rsid w:val="00BD42D7"/>
    <w:rsid w:val="00BE0D38"/>
    <w:rsid w:val="00BE170A"/>
    <w:rsid w:val="00BE1E07"/>
    <w:rsid w:val="00BE3C67"/>
    <w:rsid w:val="00BE5124"/>
    <w:rsid w:val="00BE5CC2"/>
    <w:rsid w:val="00BF2C5E"/>
    <w:rsid w:val="00BF3E1D"/>
    <w:rsid w:val="00BF43F0"/>
    <w:rsid w:val="00C02A09"/>
    <w:rsid w:val="00C069DE"/>
    <w:rsid w:val="00C10F66"/>
    <w:rsid w:val="00C15052"/>
    <w:rsid w:val="00C2189B"/>
    <w:rsid w:val="00C22504"/>
    <w:rsid w:val="00C24729"/>
    <w:rsid w:val="00C3011F"/>
    <w:rsid w:val="00C30BE1"/>
    <w:rsid w:val="00C312BC"/>
    <w:rsid w:val="00C34903"/>
    <w:rsid w:val="00C34F75"/>
    <w:rsid w:val="00C35813"/>
    <w:rsid w:val="00C36A74"/>
    <w:rsid w:val="00C37F64"/>
    <w:rsid w:val="00C41D60"/>
    <w:rsid w:val="00C42B00"/>
    <w:rsid w:val="00C579CD"/>
    <w:rsid w:val="00C61323"/>
    <w:rsid w:val="00C62705"/>
    <w:rsid w:val="00C65E00"/>
    <w:rsid w:val="00C66B27"/>
    <w:rsid w:val="00C700A4"/>
    <w:rsid w:val="00C74C3B"/>
    <w:rsid w:val="00C83B50"/>
    <w:rsid w:val="00C85244"/>
    <w:rsid w:val="00C8684A"/>
    <w:rsid w:val="00C87320"/>
    <w:rsid w:val="00C87373"/>
    <w:rsid w:val="00C87B5B"/>
    <w:rsid w:val="00C932AB"/>
    <w:rsid w:val="00C958A1"/>
    <w:rsid w:val="00C96DDD"/>
    <w:rsid w:val="00CA20EA"/>
    <w:rsid w:val="00CA4584"/>
    <w:rsid w:val="00CA5B1C"/>
    <w:rsid w:val="00CA5E81"/>
    <w:rsid w:val="00CC15CE"/>
    <w:rsid w:val="00CC4326"/>
    <w:rsid w:val="00CC45C4"/>
    <w:rsid w:val="00CC4877"/>
    <w:rsid w:val="00CC636F"/>
    <w:rsid w:val="00CC6972"/>
    <w:rsid w:val="00CD2BBC"/>
    <w:rsid w:val="00CD53DA"/>
    <w:rsid w:val="00CD6D1B"/>
    <w:rsid w:val="00CE3465"/>
    <w:rsid w:val="00CE3ED6"/>
    <w:rsid w:val="00CF456F"/>
    <w:rsid w:val="00CF4BD0"/>
    <w:rsid w:val="00CF621D"/>
    <w:rsid w:val="00D02FAB"/>
    <w:rsid w:val="00D05C31"/>
    <w:rsid w:val="00D067C7"/>
    <w:rsid w:val="00D124A6"/>
    <w:rsid w:val="00D15F17"/>
    <w:rsid w:val="00D22B09"/>
    <w:rsid w:val="00D240A4"/>
    <w:rsid w:val="00D25C6C"/>
    <w:rsid w:val="00D3042D"/>
    <w:rsid w:val="00D343AA"/>
    <w:rsid w:val="00D36DF9"/>
    <w:rsid w:val="00D401EA"/>
    <w:rsid w:val="00D403E1"/>
    <w:rsid w:val="00D44BB9"/>
    <w:rsid w:val="00D50ECE"/>
    <w:rsid w:val="00D52184"/>
    <w:rsid w:val="00D52B12"/>
    <w:rsid w:val="00D56595"/>
    <w:rsid w:val="00D56A3E"/>
    <w:rsid w:val="00D57614"/>
    <w:rsid w:val="00D6065B"/>
    <w:rsid w:val="00D62497"/>
    <w:rsid w:val="00D6588C"/>
    <w:rsid w:val="00D70100"/>
    <w:rsid w:val="00D71584"/>
    <w:rsid w:val="00D7354F"/>
    <w:rsid w:val="00D751D7"/>
    <w:rsid w:val="00D75295"/>
    <w:rsid w:val="00D828F1"/>
    <w:rsid w:val="00D92C36"/>
    <w:rsid w:val="00DA2BAD"/>
    <w:rsid w:val="00DB1863"/>
    <w:rsid w:val="00DB223A"/>
    <w:rsid w:val="00DB3C32"/>
    <w:rsid w:val="00DB477D"/>
    <w:rsid w:val="00DB4B1D"/>
    <w:rsid w:val="00DB540F"/>
    <w:rsid w:val="00DB6EC6"/>
    <w:rsid w:val="00DC1ED8"/>
    <w:rsid w:val="00DC555E"/>
    <w:rsid w:val="00DD65D3"/>
    <w:rsid w:val="00DE60DA"/>
    <w:rsid w:val="00DE7F25"/>
    <w:rsid w:val="00DF07A2"/>
    <w:rsid w:val="00DF6990"/>
    <w:rsid w:val="00E017E5"/>
    <w:rsid w:val="00E0781B"/>
    <w:rsid w:val="00E10A92"/>
    <w:rsid w:val="00E13193"/>
    <w:rsid w:val="00E16438"/>
    <w:rsid w:val="00E16F11"/>
    <w:rsid w:val="00E241EC"/>
    <w:rsid w:val="00E25F56"/>
    <w:rsid w:val="00E33920"/>
    <w:rsid w:val="00E3425B"/>
    <w:rsid w:val="00E35D1A"/>
    <w:rsid w:val="00E41559"/>
    <w:rsid w:val="00E41596"/>
    <w:rsid w:val="00E46CD2"/>
    <w:rsid w:val="00E46E9D"/>
    <w:rsid w:val="00E50FB4"/>
    <w:rsid w:val="00E54461"/>
    <w:rsid w:val="00E55D8E"/>
    <w:rsid w:val="00E67EB5"/>
    <w:rsid w:val="00E7025E"/>
    <w:rsid w:val="00E7108A"/>
    <w:rsid w:val="00E72C14"/>
    <w:rsid w:val="00E740BD"/>
    <w:rsid w:val="00E75A72"/>
    <w:rsid w:val="00E7650A"/>
    <w:rsid w:val="00E77E65"/>
    <w:rsid w:val="00E77FFB"/>
    <w:rsid w:val="00E81AAC"/>
    <w:rsid w:val="00E862B2"/>
    <w:rsid w:val="00E9141E"/>
    <w:rsid w:val="00E9290B"/>
    <w:rsid w:val="00E9291A"/>
    <w:rsid w:val="00E94328"/>
    <w:rsid w:val="00E96B3D"/>
    <w:rsid w:val="00EA6AAD"/>
    <w:rsid w:val="00EA7929"/>
    <w:rsid w:val="00EB5BC6"/>
    <w:rsid w:val="00EB6BC0"/>
    <w:rsid w:val="00EC2ED3"/>
    <w:rsid w:val="00EC3477"/>
    <w:rsid w:val="00ED1EF0"/>
    <w:rsid w:val="00ED39AB"/>
    <w:rsid w:val="00ED6D41"/>
    <w:rsid w:val="00ED7807"/>
    <w:rsid w:val="00EE13E4"/>
    <w:rsid w:val="00EE1FFD"/>
    <w:rsid w:val="00EE25DB"/>
    <w:rsid w:val="00EE5DBB"/>
    <w:rsid w:val="00EE72FC"/>
    <w:rsid w:val="00EF0DFA"/>
    <w:rsid w:val="00EF3B32"/>
    <w:rsid w:val="00EF4562"/>
    <w:rsid w:val="00EF5499"/>
    <w:rsid w:val="00F00352"/>
    <w:rsid w:val="00F120C1"/>
    <w:rsid w:val="00F134BC"/>
    <w:rsid w:val="00F13D63"/>
    <w:rsid w:val="00F1549C"/>
    <w:rsid w:val="00F22322"/>
    <w:rsid w:val="00F260B1"/>
    <w:rsid w:val="00F34F59"/>
    <w:rsid w:val="00F43C45"/>
    <w:rsid w:val="00F530F5"/>
    <w:rsid w:val="00F54A02"/>
    <w:rsid w:val="00F603E9"/>
    <w:rsid w:val="00F608D5"/>
    <w:rsid w:val="00F63963"/>
    <w:rsid w:val="00F6428F"/>
    <w:rsid w:val="00F6435D"/>
    <w:rsid w:val="00F66BCB"/>
    <w:rsid w:val="00F70859"/>
    <w:rsid w:val="00F715B6"/>
    <w:rsid w:val="00F71F25"/>
    <w:rsid w:val="00F72366"/>
    <w:rsid w:val="00F80503"/>
    <w:rsid w:val="00F805BF"/>
    <w:rsid w:val="00F80DFC"/>
    <w:rsid w:val="00F83356"/>
    <w:rsid w:val="00F838DF"/>
    <w:rsid w:val="00F908CA"/>
    <w:rsid w:val="00F93530"/>
    <w:rsid w:val="00FA131E"/>
    <w:rsid w:val="00FA4427"/>
    <w:rsid w:val="00FB0C00"/>
    <w:rsid w:val="00FB0C6A"/>
    <w:rsid w:val="00FB69CC"/>
    <w:rsid w:val="00FC0A04"/>
    <w:rsid w:val="00FC175D"/>
    <w:rsid w:val="00FC2C51"/>
    <w:rsid w:val="00FC57CF"/>
    <w:rsid w:val="00FD0B59"/>
    <w:rsid w:val="00FE16FB"/>
    <w:rsid w:val="00FE406C"/>
    <w:rsid w:val="00FE4348"/>
    <w:rsid w:val="00FF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648F1"/>
  <w15:docId w15:val="{FB1681E3-4A02-4695-ACD6-D137F7D2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034A"/>
  </w:style>
  <w:style w:type="paragraph" w:styleId="berschrift1">
    <w:name w:val="heading 1"/>
    <w:basedOn w:val="Standard"/>
    <w:next w:val="Textkrper"/>
    <w:link w:val="berschrift1Zchn"/>
    <w:uiPriority w:val="9"/>
    <w:qFormat/>
    <w:rsid w:val="004E7FA9"/>
    <w:pPr>
      <w:keepNext/>
      <w:keepLines/>
      <w:numPr>
        <w:numId w:val="27"/>
      </w:numPr>
      <w:suppressAutoHyphens/>
      <w:spacing w:after="220"/>
      <w:outlineLvl w:val="0"/>
    </w:pPr>
    <w:rPr>
      <w:rFonts w:asciiTheme="majorHAnsi" w:eastAsiaTheme="majorEastAsia" w:hAnsiTheme="majorHAnsi" w:cstheme="majorBidi"/>
      <w:b/>
      <w:bCs/>
      <w:szCs w:val="28"/>
    </w:rPr>
  </w:style>
  <w:style w:type="paragraph" w:styleId="berschrift2">
    <w:name w:val="heading 2"/>
    <w:basedOn w:val="Standard"/>
    <w:next w:val="Textkrper"/>
    <w:link w:val="berschrift2Zchn"/>
    <w:uiPriority w:val="9"/>
    <w:unhideWhenUsed/>
    <w:qFormat/>
    <w:rsid w:val="009C4EE5"/>
    <w:pPr>
      <w:keepNext/>
      <w:keepLines/>
      <w:numPr>
        <w:ilvl w:val="1"/>
        <w:numId w:val="27"/>
      </w:numPr>
      <w:suppressAutoHyphens/>
      <w:spacing w:after="220"/>
      <w:outlineLvl w:val="1"/>
    </w:pPr>
    <w:rPr>
      <w:rFonts w:asciiTheme="majorHAnsi" w:eastAsiaTheme="majorEastAsia" w:hAnsiTheme="majorHAnsi" w:cstheme="majorBidi"/>
      <w:b/>
      <w:bCs/>
      <w:szCs w:val="26"/>
    </w:rPr>
  </w:style>
  <w:style w:type="paragraph" w:styleId="berschrift3">
    <w:name w:val="heading 3"/>
    <w:basedOn w:val="Standard"/>
    <w:next w:val="Textkrper"/>
    <w:link w:val="berschrift3Zchn"/>
    <w:uiPriority w:val="9"/>
    <w:unhideWhenUsed/>
    <w:qFormat/>
    <w:rsid w:val="004E7FA9"/>
    <w:pPr>
      <w:keepNext/>
      <w:keepLines/>
      <w:numPr>
        <w:ilvl w:val="2"/>
        <w:numId w:val="27"/>
      </w:numPr>
      <w:suppressAutoHyphens/>
      <w:spacing w:after="220"/>
      <w:outlineLvl w:val="2"/>
    </w:pPr>
    <w:rPr>
      <w:rFonts w:asciiTheme="majorHAnsi" w:eastAsiaTheme="majorEastAsia" w:hAnsiTheme="majorHAnsi" w:cstheme="majorBidi"/>
      <w:b/>
      <w:bCs/>
    </w:rPr>
  </w:style>
  <w:style w:type="paragraph" w:styleId="berschrift4">
    <w:name w:val="heading 4"/>
    <w:basedOn w:val="Standard"/>
    <w:next w:val="Textkrper"/>
    <w:link w:val="berschrift4Zchn"/>
    <w:uiPriority w:val="9"/>
    <w:semiHidden/>
    <w:rsid w:val="004E7FA9"/>
    <w:pPr>
      <w:keepNext/>
      <w:keepLines/>
      <w:numPr>
        <w:ilvl w:val="3"/>
        <w:numId w:val="27"/>
      </w:numPr>
      <w:spacing w:after="220"/>
      <w:outlineLvl w:val="3"/>
    </w:pPr>
    <w:rPr>
      <w:rFonts w:asciiTheme="majorHAnsi" w:eastAsiaTheme="majorEastAsia" w:hAnsiTheme="majorHAnsi" w:cstheme="majorBidi"/>
      <w:b/>
      <w:bCs/>
      <w:iCs/>
    </w:rPr>
  </w:style>
  <w:style w:type="paragraph" w:styleId="berschrift5">
    <w:name w:val="heading 5"/>
    <w:basedOn w:val="Standard"/>
    <w:next w:val="Textkrper"/>
    <w:link w:val="berschrift5Zchn"/>
    <w:uiPriority w:val="9"/>
    <w:semiHidden/>
    <w:rsid w:val="004E7FA9"/>
    <w:pPr>
      <w:keepNext/>
      <w:keepLines/>
      <w:numPr>
        <w:ilvl w:val="4"/>
        <w:numId w:val="27"/>
      </w:numPr>
      <w:spacing w:after="220"/>
      <w:outlineLvl w:val="4"/>
    </w:pPr>
    <w:rPr>
      <w:rFonts w:asciiTheme="majorHAnsi" w:eastAsiaTheme="majorEastAsia" w:hAnsiTheme="majorHAnsi" w:cstheme="majorBidi"/>
    </w:rPr>
  </w:style>
  <w:style w:type="paragraph" w:styleId="berschrift6">
    <w:name w:val="heading 6"/>
    <w:basedOn w:val="Standard"/>
    <w:next w:val="Textkrper"/>
    <w:link w:val="berschrift6Zchn"/>
    <w:uiPriority w:val="9"/>
    <w:semiHidden/>
    <w:rsid w:val="004E7FA9"/>
    <w:pPr>
      <w:keepNext/>
      <w:keepLines/>
      <w:numPr>
        <w:ilvl w:val="5"/>
        <w:numId w:val="27"/>
      </w:numPr>
      <w:spacing w:after="220"/>
      <w:outlineLvl w:val="5"/>
    </w:pPr>
    <w:rPr>
      <w:rFonts w:asciiTheme="majorHAnsi" w:eastAsiaTheme="majorEastAsia" w:hAnsiTheme="majorHAnsi" w:cstheme="majorBidi"/>
      <w:iCs/>
    </w:rPr>
  </w:style>
  <w:style w:type="paragraph" w:styleId="berschrift7">
    <w:name w:val="heading 7"/>
    <w:basedOn w:val="Standard"/>
    <w:next w:val="Textkrper"/>
    <w:link w:val="berschrift7Zchn"/>
    <w:uiPriority w:val="9"/>
    <w:semiHidden/>
    <w:rsid w:val="004E7FA9"/>
    <w:pPr>
      <w:keepNext/>
      <w:keepLines/>
      <w:numPr>
        <w:ilvl w:val="6"/>
        <w:numId w:val="27"/>
      </w:numPr>
      <w:spacing w:after="220"/>
      <w:outlineLvl w:val="6"/>
    </w:pPr>
    <w:rPr>
      <w:rFonts w:asciiTheme="majorHAnsi" w:eastAsiaTheme="majorEastAsia" w:hAnsiTheme="majorHAnsi" w:cstheme="majorBidi"/>
      <w:iCs/>
    </w:rPr>
  </w:style>
  <w:style w:type="paragraph" w:styleId="berschrift8">
    <w:name w:val="heading 8"/>
    <w:basedOn w:val="Standard"/>
    <w:next w:val="Textkrper"/>
    <w:link w:val="berschrift8Zchn"/>
    <w:uiPriority w:val="9"/>
    <w:semiHidden/>
    <w:rsid w:val="004E7FA9"/>
    <w:pPr>
      <w:keepNext/>
      <w:keepLines/>
      <w:numPr>
        <w:ilvl w:val="7"/>
        <w:numId w:val="27"/>
      </w:numPr>
      <w:spacing w:after="220"/>
      <w:outlineLvl w:val="7"/>
    </w:pPr>
    <w:rPr>
      <w:rFonts w:asciiTheme="majorHAnsi" w:eastAsiaTheme="majorEastAsia" w:hAnsiTheme="majorHAnsi" w:cstheme="majorBidi"/>
      <w:szCs w:val="20"/>
    </w:rPr>
  </w:style>
  <w:style w:type="paragraph" w:styleId="berschrift9">
    <w:name w:val="heading 9"/>
    <w:basedOn w:val="Standard"/>
    <w:next w:val="Textkrper"/>
    <w:link w:val="berschrift9Zchn"/>
    <w:uiPriority w:val="9"/>
    <w:semiHidden/>
    <w:rsid w:val="004E7FA9"/>
    <w:pPr>
      <w:keepNext/>
      <w:keepLines/>
      <w:numPr>
        <w:ilvl w:val="8"/>
        <w:numId w:val="27"/>
      </w:numPr>
      <w:spacing w:after="220"/>
      <w:outlineLvl w:val="8"/>
    </w:pPr>
    <w:rPr>
      <w:rFonts w:asciiTheme="majorHAnsi" w:eastAsiaTheme="majorEastAsia" w:hAnsiTheme="majorHAnsi" w:cstheme="majorBidi"/>
      <w:iCs/>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berschrift1"/>
    <w:next w:val="Textkrper"/>
    <w:link w:val="TitelZchn"/>
    <w:uiPriority w:val="10"/>
    <w:qFormat/>
    <w:rsid w:val="002C3035"/>
    <w:pPr>
      <w:numPr>
        <w:numId w:val="0"/>
      </w:numPr>
      <w:contextualSpacing/>
    </w:pPr>
    <w:rPr>
      <w:b w:val="0"/>
      <w:spacing w:val="5"/>
      <w:kern w:val="28"/>
      <w:sz w:val="24"/>
      <w:szCs w:val="52"/>
    </w:rPr>
  </w:style>
  <w:style w:type="character" w:customStyle="1" w:styleId="TitelZchn">
    <w:name w:val="Titel Zchn"/>
    <w:basedOn w:val="Absatz-Standardschriftart"/>
    <w:link w:val="Titel"/>
    <w:uiPriority w:val="10"/>
    <w:rsid w:val="002C3035"/>
    <w:rPr>
      <w:rFonts w:asciiTheme="majorHAnsi" w:eastAsiaTheme="majorEastAsia" w:hAnsiTheme="majorHAnsi" w:cstheme="majorBidi"/>
      <w:bCs/>
      <w:spacing w:val="5"/>
      <w:kern w:val="28"/>
      <w:sz w:val="24"/>
      <w:szCs w:val="52"/>
    </w:rPr>
  </w:style>
  <w:style w:type="character" w:customStyle="1" w:styleId="berschrift1Zchn">
    <w:name w:val="Überschrift 1 Zchn"/>
    <w:basedOn w:val="Absatz-Standardschriftart"/>
    <w:link w:val="berschrift1"/>
    <w:uiPriority w:val="9"/>
    <w:rsid w:val="00F63963"/>
    <w:rPr>
      <w:rFonts w:asciiTheme="majorHAnsi" w:eastAsiaTheme="majorEastAsia" w:hAnsiTheme="majorHAnsi" w:cstheme="majorBidi"/>
      <w:b/>
      <w:bCs/>
      <w:szCs w:val="28"/>
    </w:rPr>
  </w:style>
  <w:style w:type="character" w:customStyle="1" w:styleId="berschrift2Zchn">
    <w:name w:val="Überschrift 2 Zchn"/>
    <w:basedOn w:val="Absatz-Standardschriftart"/>
    <w:link w:val="berschrift2"/>
    <w:uiPriority w:val="9"/>
    <w:rsid w:val="009C4EE5"/>
    <w:rPr>
      <w:rFonts w:asciiTheme="majorHAnsi" w:eastAsiaTheme="majorEastAsia" w:hAnsiTheme="majorHAnsi" w:cstheme="majorBidi"/>
      <w:b/>
      <w:bCs/>
      <w:szCs w:val="26"/>
    </w:rPr>
  </w:style>
  <w:style w:type="character" w:customStyle="1" w:styleId="berschrift3Zchn">
    <w:name w:val="Überschrift 3 Zchn"/>
    <w:basedOn w:val="Absatz-Standardschriftart"/>
    <w:link w:val="berschrift3"/>
    <w:uiPriority w:val="9"/>
    <w:rsid w:val="00F63963"/>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5E14A8"/>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9"/>
    <w:semiHidden/>
    <w:rsid w:val="005E14A8"/>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5E14A8"/>
    <w:rPr>
      <w:rFonts w:asciiTheme="majorHAnsi" w:eastAsiaTheme="majorEastAsia" w:hAnsiTheme="majorHAnsi" w:cstheme="majorBidi"/>
      <w:iCs/>
    </w:rPr>
  </w:style>
  <w:style w:type="character" w:customStyle="1" w:styleId="berschrift7Zchn">
    <w:name w:val="Überschrift 7 Zchn"/>
    <w:basedOn w:val="Absatz-Standardschriftart"/>
    <w:link w:val="berschrift7"/>
    <w:uiPriority w:val="9"/>
    <w:semiHidden/>
    <w:rsid w:val="005E14A8"/>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9"/>
    <w:semiHidden/>
    <w:rsid w:val="005E14A8"/>
    <w:rPr>
      <w:rFonts w:asciiTheme="majorHAnsi" w:eastAsiaTheme="majorEastAsia" w:hAnsiTheme="majorHAnsi" w:cstheme="majorBidi"/>
      <w:szCs w:val="20"/>
    </w:rPr>
  </w:style>
  <w:style w:type="character" w:customStyle="1" w:styleId="berschrift9Zchn">
    <w:name w:val="Überschrift 9 Zchn"/>
    <w:basedOn w:val="Absatz-Standardschriftart"/>
    <w:link w:val="berschrift9"/>
    <w:uiPriority w:val="9"/>
    <w:semiHidden/>
    <w:rsid w:val="005E14A8"/>
    <w:rPr>
      <w:rFonts w:asciiTheme="majorHAnsi" w:eastAsiaTheme="majorEastAsia" w:hAnsiTheme="majorHAnsi" w:cstheme="majorBidi"/>
      <w:iCs/>
      <w:szCs w:val="20"/>
    </w:rPr>
  </w:style>
  <w:style w:type="paragraph" w:styleId="KeinLeerraum">
    <w:name w:val="No Spacing"/>
    <w:uiPriority w:val="1"/>
    <w:qFormat/>
    <w:rsid w:val="004E7FA9"/>
    <w:pPr>
      <w:ind w:left="1304"/>
      <w:jc w:val="both"/>
    </w:pPr>
  </w:style>
  <w:style w:type="paragraph" w:styleId="Textkrper">
    <w:name w:val="Body Text"/>
    <w:basedOn w:val="Standard"/>
    <w:link w:val="TextkrperZchn"/>
    <w:qFormat/>
    <w:rsid w:val="004E7FA9"/>
    <w:pPr>
      <w:spacing w:after="220"/>
      <w:ind w:left="1304"/>
    </w:pPr>
  </w:style>
  <w:style w:type="character" w:customStyle="1" w:styleId="TextkrperZchn">
    <w:name w:val="Textkörper Zchn"/>
    <w:basedOn w:val="Absatz-Standardschriftart"/>
    <w:link w:val="Textkrper"/>
    <w:rsid w:val="00F63963"/>
  </w:style>
  <w:style w:type="paragraph" w:styleId="Verzeichnis1">
    <w:name w:val="toc 1"/>
    <w:basedOn w:val="Standard"/>
    <w:next w:val="Standard"/>
    <w:autoRedefine/>
    <w:uiPriority w:val="39"/>
    <w:rsid w:val="004E7FA9"/>
    <w:pPr>
      <w:spacing w:after="100"/>
    </w:pPr>
  </w:style>
  <w:style w:type="paragraph" w:styleId="RGV-berschrift">
    <w:name w:val="toa heading"/>
    <w:basedOn w:val="Standard"/>
    <w:next w:val="Standard"/>
    <w:uiPriority w:val="99"/>
    <w:semiHidden/>
    <w:rsid w:val="004E7FA9"/>
    <w:pPr>
      <w:spacing w:before="120"/>
    </w:pPr>
    <w:rPr>
      <w:rFonts w:asciiTheme="majorHAnsi" w:eastAsiaTheme="majorEastAsia" w:hAnsiTheme="majorHAnsi" w:cstheme="majorBidi"/>
      <w:b/>
      <w:bCs/>
      <w:sz w:val="24"/>
      <w:szCs w:val="24"/>
    </w:rPr>
  </w:style>
  <w:style w:type="paragraph" w:styleId="Fuzeile">
    <w:name w:val="footer"/>
    <w:basedOn w:val="Standard"/>
    <w:link w:val="FuzeileZchn"/>
    <w:uiPriority w:val="99"/>
    <w:rsid w:val="004E7FA9"/>
    <w:pPr>
      <w:tabs>
        <w:tab w:val="center" w:pos="4513"/>
        <w:tab w:val="right" w:pos="9026"/>
      </w:tabs>
      <w:suppressAutoHyphens/>
    </w:pPr>
    <w:rPr>
      <w:rFonts w:ascii="Calibri" w:hAnsi="Calibri"/>
      <w:sz w:val="16"/>
    </w:rPr>
  </w:style>
  <w:style w:type="character" w:customStyle="1" w:styleId="FuzeileZchn">
    <w:name w:val="Fußzeile Zchn"/>
    <w:basedOn w:val="Absatz-Standardschriftart"/>
    <w:link w:val="Fuzeile"/>
    <w:uiPriority w:val="99"/>
    <w:rsid w:val="007C02D9"/>
    <w:rPr>
      <w:rFonts w:ascii="Calibri" w:hAnsi="Calibri"/>
      <w:sz w:val="16"/>
    </w:rPr>
  </w:style>
  <w:style w:type="character" w:styleId="Platzhaltertext">
    <w:name w:val="Placeholder Text"/>
    <w:basedOn w:val="Absatz-Standardschriftart"/>
    <w:uiPriority w:val="99"/>
    <w:rsid w:val="00443CA8"/>
    <w:rPr>
      <w:vanish/>
      <w:color w:val="auto"/>
    </w:rPr>
  </w:style>
  <w:style w:type="numbering" w:customStyle="1" w:styleId="MerkittyluetteloSTUK">
    <w:name w:val="Merkitty luettelo STUK"/>
    <w:uiPriority w:val="99"/>
    <w:rsid w:val="001649E0"/>
    <w:pPr>
      <w:numPr>
        <w:numId w:val="3"/>
      </w:numPr>
    </w:pPr>
  </w:style>
  <w:style w:type="numbering" w:customStyle="1" w:styleId="NumeroituluetteloSTUK">
    <w:name w:val="Numeroitu luettelo STUK"/>
    <w:uiPriority w:val="99"/>
    <w:rsid w:val="001649E0"/>
    <w:pPr>
      <w:numPr>
        <w:numId w:val="5"/>
      </w:numPr>
    </w:pPr>
  </w:style>
  <w:style w:type="paragraph" w:styleId="Aufzhlungszeichen">
    <w:name w:val="List Bullet"/>
    <w:basedOn w:val="Standard"/>
    <w:uiPriority w:val="99"/>
    <w:qFormat/>
    <w:rsid w:val="00F72366"/>
    <w:pPr>
      <w:numPr>
        <w:numId w:val="35"/>
      </w:numPr>
      <w:spacing w:after="220"/>
      <w:contextualSpacing/>
    </w:pPr>
  </w:style>
  <w:style w:type="paragraph" w:styleId="Kopfzeile">
    <w:name w:val="header"/>
    <w:basedOn w:val="Standard"/>
    <w:link w:val="KopfzeileZchn"/>
    <w:uiPriority w:val="99"/>
    <w:rsid w:val="006F1CF9"/>
    <w:pPr>
      <w:suppressAutoHyphens/>
    </w:pPr>
    <w:rPr>
      <w:rFonts w:ascii="Arial" w:hAnsi="Arial"/>
    </w:rPr>
  </w:style>
  <w:style w:type="paragraph" w:styleId="Listennummer">
    <w:name w:val="List Number"/>
    <w:basedOn w:val="Standard"/>
    <w:uiPriority w:val="99"/>
    <w:qFormat/>
    <w:rsid w:val="00F72366"/>
    <w:pPr>
      <w:numPr>
        <w:numId w:val="36"/>
      </w:numPr>
      <w:spacing w:after="220"/>
      <w:contextualSpacing/>
    </w:pPr>
  </w:style>
  <w:style w:type="character" w:customStyle="1" w:styleId="KopfzeileZchn">
    <w:name w:val="Kopfzeile Zchn"/>
    <w:basedOn w:val="Absatz-Standardschriftart"/>
    <w:link w:val="Kopfzeile"/>
    <w:uiPriority w:val="99"/>
    <w:rsid w:val="006F1CF9"/>
    <w:rPr>
      <w:rFonts w:ascii="Arial" w:hAnsi="Arial"/>
    </w:rPr>
  </w:style>
  <w:style w:type="table" w:styleId="Tabellenraster">
    <w:name w:val="Table Grid"/>
    <w:basedOn w:val="NormaleTabelle"/>
    <w:uiPriority w:val="59"/>
    <w:rsid w:val="004E7F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unaton">
    <w:name w:val="reunaton"/>
    <w:basedOn w:val="NormaleTabelle"/>
    <w:uiPriority w:val="99"/>
    <w:qFormat/>
    <w:rsid w:val="004E7FA9"/>
    <w:tblPr/>
  </w:style>
  <w:style w:type="paragraph" w:styleId="Sprechblasentext">
    <w:name w:val="Balloon Text"/>
    <w:basedOn w:val="Standard"/>
    <w:link w:val="SprechblasentextZchn"/>
    <w:uiPriority w:val="99"/>
    <w:semiHidden/>
    <w:unhideWhenUsed/>
    <w:rsid w:val="004E7F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08A8"/>
    <w:rPr>
      <w:rFonts w:ascii="Tahoma" w:hAnsi="Tahoma" w:cs="Tahoma"/>
      <w:sz w:val="16"/>
      <w:szCs w:val="16"/>
    </w:rPr>
  </w:style>
  <w:style w:type="paragraph" w:styleId="Inhaltsverzeichnisberschrift">
    <w:name w:val="TOC Heading"/>
    <w:basedOn w:val="berschrift1"/>
    <w:next w:val="Standard"/>
    <w:uiPriority w:val="39"/>
    <w:unhideWhenUsed/>
    <w:rsid w:val="004E7FA9"/>
    <w:pPr>
      <w:numPr>
        <w:numId w:val="0"/>
      </w:numPr>
      <w:spacing w:after="240"/>
      <w:outlineLvl w:val="9"/>
    </w:pPr>
  </w:style>
  <w:style w:type="character" w:styleId="Hyperlink">
    <w:name w:val="Hyperlink"/>
    <w:basedOn w:val="Absatz-Standardschriftart"/>
    <w:uiPriority w:val="99"/>
    <w:unhideWhenUsed/>
    <w:rsid w:val="007C322F"/>
    <w:rPr>
      <w:color w:val="0563C1" w:themeColor="hyperlink"/>
      <w:u w:val="single"/>
    </w:rPr>
  </w:style>
  <w:style w:type="paragraph" w:styleId="Verzeichnis2">
    <w:name w:val="toc 2"/>
    <w:basedOn w:val="Standard"/>
    <w:next w:val="Standard"/>
    <w:autoRedefine/>
    <w:uiPriority w:val="39"/>
    <w:unhideWhenUsed/>
    <w:rsid w:val="007C322F"/>
    <w:pPr>
      <w:spacing w:after="100"/>
      <w:ind w:left="220"/>
    </w:pPr>
  </w:style>
  <w:style w:type="paragraph" w:styleId="Verzeichnis3">
    <w:name w:val="toc 3"/>
    <w:basedOn w:val="Standard"/>
    <w:next w:val="Standard"/>
    <w:autoRedefine/>
    <w:uiPriority w:val="39"/>
    <w:unhideWhenUsed/>
    <w:rsid w:val="007C322F"/>
    <w:pPr>
      <w:spacing w:after="100"/>
      <w:ind w:left="440"/>
    </w:pPr>
  </w:style>
  <w:style w:type="paragraph" w:styleId="Aufzhlungszeichen2">
    <w:name w:val="List Bullet 2"/>
    <w:basedOn w:val="Standard"/>
    <w:uiPriority w:val="99"/>
    <w:qFormat/>
    <w:rsid w:val="001649E0"/>
    <w:pPr>
      <w:numPr>
        <w:numId w:val="39"/>
      </w:numPr>
      <w:spacing w:after="220"/>
      <w:contextualSpacing/>
    </w:pPr>
  </w:style>
  <w:style w:type="paragraph" w:styleId="Listennummer2">
    <w:name w:val="List Number 2"/>
    <w:basedOn w:val="Standard"/>
    <w:uiPriority w:val="99"/>
    <w:unhideWhenUsed/>
    <w:qFormat/>
    <w:rsid w:val="001649E0"/>
    <w:pPr>
      <w:numPr>
        <w:numId w:val="40"/>
      </w:numPr>
      <w:spacing w:after="220"/>
      <w:contextualSpacing/>
    </w:pPr>
  </w:style>
  <w:style w:type="numbering" w:customStyle="1" w:styleId="Numeroidutotsikot">
    <w:name w:val="Numeroidut otsikot"/>
    <w:uiPriority w:val="99"/>
    <w:rsid w:val="004E7FA9"/>
    <w:pPr>
      <w:numPr>
        <w:numId w:val="6"/>
      </w:numPr>
    </w:pPr>
  </w:style>
  <w:style w:type="numbering" w:customStyle="1" w:styleId="Stukmerkittyluettelo2">
    <w:name w:val="Stuk merkitty luettelo 2"/>
    <w:uiPriority w:val="99"/>
    <w:rsid w:val="001649E0"/>
    <w:pPr>
      <w:numPr>
        <w:numId w:val="22"/>
      </w:numPr>
    </w:pPr>
  </w:style>
  <w:style w:type="numbering" w:customStyle="1" w:styleId="Stuknumeroituluettelo2">
    <w:name w:val="Stuk numeroitu luettelo 2"/>
    <w:uiPriority w:val="99"/>
    <w:rsid w:val="001649E0"/>
    <w:pPr>
      <w:numPr>
        <w:numId w:val="25"/>
      </w:numPr>
    </w:pPr>
  </w:style>
  <w:style w:type="table" w:customStyle="1" w:styleId="TaulukkoRuudukko1">
    <w:name w:val="Taulukko Ruudukko1"/>
    <w:basedOn w:val="NormaleTabelle"/>
    <w:next w:val="Tabellenraster"/>
    <w:uiPriority w:val="59"/>
    <w:rsid w:val="00A016A4"/>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40AA"/>
    <w:pPr>
      <w:autoSpaceDE w:val="0"/>
      <w:autoSpaceDN w:val="0"/>
      <w:adjustRightInd w:val="0"/>
    </w:pPr>
    <w:rPr>
      <w:rFonts w:ascii="Arial" w:hAnsi="Arial" w:cs="Arial"/>
      <w:color w:val="000000"/>
      <w:sz w:val="24"/>
      <w:szCs w:val="24"/>
      <w:lang w:val="en-US"/>
    </w:rPr>
  </w:style>
  <w:style w:type="character" w:customStyle="1" w:styleId="UnresolvedMention1">
    <w:name w:val="Unresolved Mention1"/>
    <w:basedOn w:val="Absatz-Standardschriftart"/>
    <w:uiPriority w:val="99"/>
    <w:semiHidden/>
    <w:unhideWhenUsed/>
    <w:rsid w:val="00BB76BF"/>
    <w:rPr>
      <w:color w:val="605E5C"/>
      <w:shd w:val="clear" w:color="auto" w:fill="E1DFDD"/>
    </w:rPr>
  </w:style>
  <w:style w:type="character" w:styleId="Kommentarzeichen">
    <w:name w:val="annotation reference"/>
    <w:basedOn w:val="Absatz-Standardschriftart"/>
    <w:uiPriority w:val="99"/>
    <w:semiHidden/>
    <w:unhideWhenUsed/>
    <w:rsid w:val="00C8684A"/>
    <w:rPr>
      <w:sz w:val="16"/>
      <w:szCs w:val="16"/>
    </w:rPr>
  </w:style>
  <w:style w:type="paragraph" w:styleId="Kommentartext">
    <w:name w:val="annotation text"/>
    <w:basedOn w:val="Standard"/>
    <w:link w:val="KommentartextZchn"/>
    <w:uiPriority w:val="99"/>
    <w:unhideWhenUsed/>
    <w:rsid w:val="00C8684A"/>
    <w:rPr>
      <w:sz w:val="20"/>
      <w:szCs w:val="20"/>
    </w:rPr>
  </w:style>
  <w:style w:type="character" w:customStyle="1" w:styleId="KommentartextZchn">
    <w:name w:val="Kommentartext Zchn"/>
    <w:basedOn w:val="Absatz-Standardschriftart"/>
    <w:link w:val="Kommentartext"/>
    <w:uiPriority w:val="99"/>
    <w:rsid w:val="00C8684A"/>
    <w:rPr>
      <w:sz w:val="20"/>
      <w:szCs w:val="20"/>
    </w:rPr>
  </w:style>
  <w:style w:type="paragraph" w:styleId="Kommentarthema">
    <w:name w:val="annotation subject"/>
    <w:basedOn w:val="Kommentartext"/>
    <w:next w:val="Kommentartext"/>
    <w:link w:val="KommentarthemaZchn"/>
    <w:uiPriority w:val="99"/>
    <w:semiHidden/>
    <w:unhideWhenUsed/>
    <w:rsid w:val="00C8684A"/>
    <w:rPr>
      <w:b/>
      <w:bCs/>
    </w:rPr>
  </w:style>
  <w:style w:type="character" w:customStyle="1" w:styleId="KommentarthemaZchn">
    <w:name w:val="Kommentarthema Zchn"/>
    <w:basedOn w:val="KommentartextZchn"/>
    <w:link w:val="Kommentarthema"/>
    <w:uiPriority w:val="99"/>
    <w:semiHidden/>
    <w:rsid w:val="00C8684A"/>
    <w:rPr>
      <w:b/>
      <w:bCs/>
      <w:sz w:val="20"/>
      <w:szCs w:val="20"/>
    </w:rPr>
  </w:style>
  <w:style w:type="paragraph" w:styleId="Listenabsatz">
    <w:name w:val="List Paragraph"/>
    <w:basedOn w:val="Standard"/>
    <w:uiPriority w:val="34"/>
    <w:qFormat/>
    <w:rsid w:val="00CD6D1B"/>
    <w:pPr>
      <w:ind w:left="720"/>
      <w:contextualSpacing/>
    </w:pPr>
  </w:style>
  <w:style w:type="paragraph" w:customStyle="1" w:styleId="without-margin-bottom">
    <w:name w:val="without-margin-bottom"/>
    <w:basedOn w:val="Standard"/>
    <w:rsid w:val="00F6435D"/>
    <w:pPr>
      <w:spacing w:before="100" w:beforeAutospacing="1" w:after="100" w:afterAutospacing="1"/>
    </w:pPr>
    <w:rPr>
      <w:rFonts w:ascii="Times New Roman" w:eastAsia="Times New Roman" w:hAnsi="Times New Roman" w:cs="Times New Roman"/>
      <w:sz w:val="24"/>
      <w:szCs w:val="24"/>
      <w:lang w:val="en-US"/>
    </w:rPr>
  </w:style>
  <w:style w:type="character" w:styleId="BesuchterLink">
    <w:name w:val="FollowedHyperlink"/>
    <w:basedOn w:val="Absatz-Standardschriftart"/>
    <w:uiPriority w:val="99"/>
    <w:semiHidden/>
    <w:unhideWhenUsed/>
    <w:rsid w:val="006A5D6B"/>
    <w:rPr>
      <w:color w:val="595959" w:themeColor="followedHyperlink"/>
      <w:u w:val="single"/>
    </w:rPr>
  </w:style>
  <w:style w:type="paragraph" w:styleId="berarbeitung">
    <w:name w:val="Revision"/>
    <w:hidden/>
    <w:uiPriority w:val="99"/>
    <w:semiHidden/>
    <w:rsid w:val="00F603E9"/>
  </w:style>
  <w:style w:type="character" w:customStyle="1" w:styleId="UnresolvedMention2">
    <w:name w:val="Unresolved Mention2"/>
    <w:basedOn w:val="Absatz-Standardschriftart"/>
    <w:uiPriority w:val="99"/>
    <w:semiHidden/>
    <w:unhideWhenUsed/>
    <w:rsid w:val="00F80503"/>
    <w:rPr>
      <w:color w:val="605E5C"/>
      <w:shd w:val="clear" w:color="auto" w:fill="E1DFDD"/>
    </w:rPr>
  </w:style>
  <w:style w:type="character" w:styleId="NichtaufgelsteErwhnung">
    <w:name w:val="Unresolved Mention"/>
    <w:basedOn w:val="Absatz-Standardschriftart"/>
    <w:uiPriority w:val="99"/>
    <w:semiHidden/>
    <w:unhideWhenUsed/>
    <w:rsid w:val="00296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1216">
      <w:bodyDiv w:val="1"/>
      <w:marLeft w:val="0"/>
      <w:marRight w:val="0"/>
      <w:marTop w:val="0"/>
      <w:marBottom w:val="0"/>
      <w:divBdr>
        <w:top w:val="none" w:sz="0" w:space="0" w:color="auto"/>
        <w:left w:val="none" w:sz="0" w:space="0" w:color="auto"/>
        <w:bottom w:val="none" w:sz="0" w:space="0" w:color="auto"/>
        <w:right w:val="none" w:sz="0" w:space="0" w:color="auto"/>
      </w:divBdr>
    </w:div>
    <w:div w:id="683358261">
      <w:bodyDiv w:val="1"/>
      <w:marLeft w:val="0"/>
      <w:marRight w:val="0"/>
      <w:marTop w:val="0"/>
      <w:marBottom w:val="0"/>
      <w:divBdr>
        <w:top w:val="none" w:sz="0" w:space="0" w:color="auto"/>
        <w:left w:val="none" w:sz="0" w:space="0" w:color="auto"/>
        <w:bottom w:val="none" w:sz="0" w:space="0" w:color="auto"/>
        <w:right w:val="none" w:sz="0" w:space="0" w:color="auto"/>
      </w:divBdr>
    </w:div>
    <w:div w:id="865099125">
      <w:bodyDiv w:val="1"/>
      <w:marLeft w:val="0"/>
      <w:marRight w:val="0"/>
      <w:marTop w:val="0"/>
      <w:marBottom w:val="0"/>
      <w:divBdr>
        <w:top w:val="none" w:sz="0" w:space="0" w:color="auto"/>
        <w:left w:val="none" w:sz="0" w:space="0" w:color="auto"/>
        <w:bottom w:val="none" w:sz="0" w:space="0" w:color="auto"/>
        <w:right w:val="none" w:sz="0" w:space="0" w:color="auto"/>
      </w:divBdr>
      <w:divsChild>
        <w:div w:id="781729374">
          <w:marLeft w:val="0"/>
          <w:marRight w:val="0"/>
          <w:marTop w:val="0"/>
          <w:marBottom w:val="270"/>
          <w:divBdr>
            <w:top w:val="none" w:sz="0" w:space="0" w:color="auto"/>
            <w:left w:val="none" w:sz="0" w:space="0" w:color="auto"/>
            <w:bottom w:val="none" w:sz="0" w:space="0" w:color="auto"/>
            <w:right w:val="none" w:sz="0" w:space="0" w:color="auto"/>
          </w:divBdr>
        </w:div>
      </w:divsChild>
    </w:div>
    <w:div w:id="1522932176">
      <w:bodyDiv w:val="1"/>
      <w:marLeft w:val="0"/>
      <w:marRight w:val="0"/>
      <w:marTop w:val="0"/>
      <w:marBottom w:val="0"/>
      <w:divBdr>
        <w:top w:val="none" w:sz="0" w:space="0" w:color="auto"/>
        <w:left w:val="none" w:sz="0" w:space="0" w:color="auto"/>
        <w:bottom w:val="none" w:sz="0" w:space="0" w:color="auto"/>
        <w:right w:val="none" w:sz="0" w:space="0" w:color="auto"/>
      </w:divBdr>
    </w:div>
    <w:div w:id="1838226376">
      <w:bodyDiv w:val="1"/>
      <w:marLeft w:val="0"/>
      <w:marRight w:val="0"/>
      <w:marTop w:val="0"/>
      <w:marBottom w:val="0"/>
      <w:divBdr>
        <w:top w:val="none" w:sz="0" w:space="0" w:color="auto"/>
        <w:left w:val="none" w:sz="0" w:space="0" w:color="auto"/>
        <w:bottom w:val="none" w:sz="0" w:space="0" w:color="auto"/>
        <w:right w:val="none" w:sz="0" w:space="0" w:color="auto"/>
      </w:divBdr>
    </w:div>
    <w:div w:id="187827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229\AppData\Roaming\Microsoft\Templates\STUK%20englanti\Document%20with%20T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9DB8273CE04D4D8BC4F1E6FD0562BF"/>
        <w:category>
          <w:name w:val="General"/>
          <w:gallery w:val="placeholder"/>
        </w:category>
        <w:types>
          <w:type w:val="bbPlcHdr"/>
        </w:types>
        <w:behaviors>
          <w:behavior w:val="content"/>
        </w:behaviors>
        <w:guid w:val="{A80345F1-8100-4506-ACD7-6AF038CFB55B}"/>
      </w:docPartPr>
      <w:docPartBody>
        <w:p w:rsidR="00A33795" w:rsidRDefault="001F1F35">
          <w:pPr>
            <w:pStyle w:val="309DB8273CE04D4D8BC4F1E6FD0562BF"/>
          </w:pPr>
          <w:r w:rsidRPr="00C87373">
            <w:rPr>
              <w:rFonts w:ascii="Arial" w:eastAsia="Calibri" w:hAnsi="Arial" w:cs="Arial"/>
              <w:caps/>
              <w:color w:val="FFFFFF" w:themeColor="background1"/>
              <w:lang w:val="sv-SE"/>
            </w:rPr>
            <w:t xml:space="preserve">[REPORT ID] </w:t>
          </w:r>
        </w:p>
      </w:docPartBody>
    </w:docPart>
    <w:docPart>
      <w:docPartPr>
        <w:name w:val="581B097383C5474BA0FA7A33D9854C81"/>
        <w:category>
          <w:name w:val="General"/>
          <w:gallery w:val="placeholder"/>
        </w:category>
        <w:types>
          <w:type w:val="bbPlcHdr"/>
        </w:types>
        <w:behaviors>
          <w:behavior w:val="content"/>
        </w:behaviors>
        <w:guid w:val="{5C205E4E-5940-446A-B602-77C3BBC1EC53}"/>
      </w:docPartPr>
      <w:docPartBody>
        <w:p w:rsidR="00A33795" w:rsidRDefault="001F1F35">
          <w:pPr>
            <w:pStyle w:val="581B097383C5474BA0FA7A33D9854C81"/>
          </w:pPr>
          <w:r w:rsidRPr="00C87373">
            <w:rPr>
              <w:rFonts w:ascii="Arial" w:eastAsia="Calibri" w:hAnsi="Arial" w:cs="Arial"/>
              <w:caps/>
              <w:color w:val="FFFFFF" w:themeColor="background1"/>
              <w:lang w:val="sv-SE"/>
            </w:rPr>
            <w:t>[M</w:t>
          </w:r>
          <w:r>
            <w:rPr>
              <w:rFonts w:ascii="Arial" w:eastAsia="Calibri" w:hAnsi="Arial" w:cs="Arial"/>
              <w:caps/>
              <w:color w:val="FFFFFF" w:themeColor="background1"/>
              <w:lang w:val="sv-SE"/>
            </w:rPr>
            <w:t>ONTH</w:t>
          </w:r>
          <w:r w:rsidRPr="00C87373">
            <w:rPr>
              <w:rFonts w:ascii="Arial" w:eastAsia="Calibri" w:hAnsi="Arial" w:cs="Arial"/>
              <w:caps/>
              <w:color w:val="FFFFFF" w:themeColor="background1"/>
              <w:lang w:val="sv-SE"/>
            </w:rPr>
            <w:t xml:space="preserve"> / </w:t>
          </w:r>
          <w:r>
            <w:rPr>
              <w:rFonts w:ascii="Arial" w:eastAsia="Calibri" w:hAnsi="Arial" w:cs="Arial"/>
              <w:caps/>
              <w:color w:val="FFFFFF" w:themeColor="background1"/>
              <w:lang w:val="sv-SE"/>
            </w:rPr>
            <w:t>YEAR</w:t>
          </w:r>
          <w:r w:rsidRPr="00C87373">
            <w:rPr>
              <w:rFonts w:ascii="Arial" w:eastAsia="Calibri" w:hAnsi="Arial" w:cs="Arial"/>
              <w:caps/>
              <w:color w:val="FFFFFF" w:themeColor="background1"/>
              <w:lang w:val="sv-S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35"/>
    <w:rsid w:val="000A46EE"/>
    <w:rsid w:val="000C2617"/>
    <w:rsid w:val="00134490"/>
    <w:rsid w:val="001E4E2E"/>
    <w:rsid w:val="001F13BC"/>
    <w:rsid w:val="001F1F35"/>
    <w:rsid w:val="00266664"/>
    <w:rsid w:val="002822F9"/>
    <w:rsid w:val="002A1214"/>
    <w:rsid w:val="002C2C98"/>
    <w:rsid w:val="00387A6D"/>
    <w:rsid w:val="003C1A8D"/>
    <w:rsid w:val="003C4357"/>
    <w:rsid w:val="00415AE3"/>
    <w:rsid w:val="004173B6"/>
    <w:rsid w:val="00445551"/>
    <w:rsid w:val="004C1D53"/>
    <w:rsid w:val="004C772E"/>
    <w:rsid w:val="0050451D"/>
    <w:rsid w:val="00596079"/>
    <w:rsid w:val="005B02D8"/>
    <w:rsid w:val="005C47D2"/>
    <w:rsid w:val="006145A2"/>
    <w:rsid w:val="006226D2"/>
    <w:rsid w:val="00647E28"/>
    <w:rsid w:val="00687DE9"/>
    <w:rsid w:val="00770965"/>
    <w:rsid w:val="007A2D1D"/>
    <w:rsid w:val="007C7C37"/>
    <w:rsid w:val="00803572"/>
    <w:rsid w:val="00817286"/>
    <w:rsid w:val="00871C58"/>
    <w:rsid w:val="00895109"/>
    <w:rsid w:val="008D5156"/>
    <w:rsid w:val="008D6676"/>
    <w:rsid w:val="00931764"/>
    <w:rsid w:val="009D2337"/>
    <w:rsid w:val="00A33795"/>
    <w:rsid w:val="00A33996"/>
    <w:rsid w:val="00A51736"/>
    <w:rsid w:val="00AB03C8"/>
    <w:rsid w:val="00AE5FD9"/>
    <w:rsid w:val="00BF5C8E"/>
    <w:rsid w:val="00C34903"/>
    <w:rsid w:val="00C42063"/>
    <w:rsid w:val="00CB000D"/>
    <w:rsid w:val="00CB5410"/>
    <w:rsid w:val="00D124A6"/>
    <w:rsid w:val="00D403E1"/>
    <w:rsid w:val="00D56A3E"/>
    <w:rsid w:val="00D75295"/>
    <w:rsid w:val="00D97879"/>
    <w:rsid w:val="00DB14B6"/>
    <w:rsid w:val="00DC1ED8"/>
    <w:rsid w:val="00DE451A"/>
    <w:rsid w:val="00E2267B"/>
    <w:rsid w:val="00FA4427"/>
    <w:rsid w:val="00FB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09DB8273CE04D4D8BC4F1E6FD0562BF">
    <w:name w:val="309DB8273CE04D4D8BC4F1E6FD0562BF"/>
  </w:style>
  <w:style w:type="paragraph" w:customStyle="1" w:styleId="581B097383C5474BA0FA7A33D9854C81">
    <w:name w:val="581B097383C5474BA0FA7A33D9854C81"/>
  </w:style>
  <w:style w:type="character" w:styleId="Platzhaltertext">
    <w:name w:val="Placeholder Text"/>
    <w:basedOn w:val="Absatz-Standardschriftart"/>
    <w:uiPriority w:val="99"/>
    <w:rsid w:val="00AE5FD9"/>
    <w:rPr>
      <w:vanish/>
      <w:color w:val="aut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UK">
  <a:themeElements>
    <a:clrScheme name="STUK Word">
      <a:dk1>
        <a:srgbClr val="000000"/>
      </a:dk1>
      <a:lt1>
        <a:sysClr val="window" lastClr="FFFFFF"/>
      </a:lt1>
      <a:dk2>
        <a:srgbClr val="0066B3"/>
      </a:dk2>
      <a:lt2>
        <a:srgbClr val="C99AC6"/>
      </a:lt2>
      <a:accent1>
        <a:srgbClr val="0066B3"/>
      </a:accent1>
      <a:accent2>
        <a:srgbClr val="50C2BF"/>
      </a:accent2>
      <a:accent3>
        <a:srgbClr val="F48480"/>
      </a:accent3>
      <a:accent4>
        <a:srgbClr val="FCBA61"/>
      </a:accent4>
      <a:accent5>
        <a:srgbClr val="6ECFF6"/>
      </a:accent5>
      <a:accent6>
        <a:srgbClr val="94CC80"/>
      </a:accent6>
      <a:hlink>
        <a:srgbClr val="0563C1"/>
      </a:hlink>
      <a:folHlink>
        <a:srgbClr val="595959"/>
      </a:folHlink>
    </a:clrScheme>
    <a:fontScheme name="Mukautettu 2">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1E05B2-EF1C-4FF6-8BFF-880D7FF7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with TOC.dotx</Template>
  <TotalTime>0</TotalTime>
  <Pages>10</Pages>
  <Words>2081</Words>
  <Characters>13116</Characters>
  <Application>Microsoft Office Word</Application>
  <DocSecurity>0</DocSecurity>
  <Lines>109</Lines>
  <Paragraphs>30</Paragraphs>
  <ScaleCrop>false</ScaleCrop>
  <HeadingPairs>
    <vt:vector size="6" baseType="variant">
      <vt:variant>
        <vt:lpstr>Title</vt:lpstr>
      </vt:variant>
      <vt:variant>
        <vt:i4>1</vt:i4>
      </vt:variant>
      <vt:variant>
        <vt:lpstr>Rubrik</vt:lpstr>
      </vt:variant>
      <vt:variant>
        <vt:i4>1</vt:i4>
      </vt:variant>
      <vt:variant>
        <vt:lpstr>Otsikko</vt:lpstr>
      </vt:variant>
      <vt:variant>
        <vt:i4>1</vt:i4>
      </vt:variant>
    </vt:vector>
  </HeadingPairs>
  <TitlesOfParts>
    <vt:vector size="3" baseType="lpstr">
      <vt:lpstr/>
      <vt:lpstr/>
      <vt:lpstr/>
    </vt:vector>
  </TitlesOfParts>
  <Company>Säteilyturvakeskus STUK</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Nylund Reetta</dc:creator>
  <cp:keywords/>
  <dc:description/>
  <cp:lastModifiedBy>Kirsten Jahn</cp:lastModifiedBy>
  <cp:revision>2</cp:revision>
  <cp:lastPrinted>2024-10-07T10:59:00Z</cp:lastPrinted>
  <dcterms:created xsi:type="dcterms:W3CDTF">2025-09-16T10:57:00Z</dcterms:created>
  <dcterms:modified xsi:type="dcterms:W3CDTF">2025-09-16T10:57:00Z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4b5af-ab42-45d5-91e7-45583bed1b2a_Enabled">
    <vt:lpwstr>true</vt:lpwstr>
  </property>
  <property fmtid="{D5CDD505-2E9C-101B-9397-08002B2CF9AE}" pid="3" name="MSIP_Label_9df4b5af-ab42-45d5-91e7-45583bed1b2a_SetDate">
    <vt:lpwstr>2025-02-07T09:03:32Z</vt:lpwstr>
  </property>
  <property fmtid="{D5CDD505-2E9C-101B-9397-08002B2CF9AE}" pid="4" name="MSIP_Label_9df4b5af-ab42-45d5-91e7-45583bed1b2a_Method">
    <vt:lpwstr>Standard</vt:lpwstr>
  </property>
  <property fmtid="{D5CDD505-2E9C-101B-9397-08002B2CF9AE}" pid="5" name="MSIP_Label_9df4b5af-ab42-45d5-91e7-45583bed1b2a_Name">
    <vt:lpwstr>9df4b5af-ab42-45d5-91e7-45583bed1b2a</vt:lpwstr>
  </property>
  <property fmtid="{D5CDD505-2E9C-101B-9397-08002B2CF9AE}" pid="6" name="MSIP_Label_9df4b5af-ab42-45d5-91e7-45583bed1b2a_SiteId">
    <vt:lpwstr>601e5460-b1bf-49c0-bd2d-e76ffc186a8d</vt:lpwstr>
  </property>
  <property fmtid="{D5CDD505-2E9C-101B-9397-08002B2CF9AE}" pid="7" name="MSIP_Label_9df4b5af-ab42-45d5-91e7-45583bed1b2a_ActionId">
    <vt:lpwstr>33fcd53f-ecaa-4feb-9653-ebcb1b1daff7</vt:lpwstr>
  </property>
  <property fmtid="{D5CDD505-2E9C-101B-9397-08002B2CF9AE}" pid="8" name="MSIP_Label_9df4b5af-ab42-45d5-91e7-45583bed1b2a_ContentBits">
    <vt:lpwstr>0</vt:lpwstr>
  </property>
</Properties>
</file>